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250E" w:rsidRPr="002A250E" w:rsidRDefault="00E01E61" w:rsidP="008B6E31">
      <w:pPr>
        <w:spacing w:line="240" w:lineRule="auto"/>
        <w:jc w:val="center"/>
        <w:outlineLvl w:val="0"/>
        <w:rPr>
          <w:rFonts w:ascii="Times New Roman" w:hAnsi="Times New Roman"/>
          <w:b/>
          <w:sz w:val="24"/>
          <w:szCs w:val="24"/>
        </w:rPr>
      </w:pPr>
      <w:r w:rsidRPr="002A250E">
        <w:rPr>
          <w:rFonts w:ascii="Times New Roman" w:hAnsi="Times New Roman"/>
          <w:b/>
          <w:sz w:val="28"/>
          <w:szCs w:val="28"/>
        </w:rPr>
        <w:t>Multi-Agent Financial Network</w:t>
      </w:r>
      <w:r w:rsidR="0049476B" w:rsidRPr="002A250E">
        <w:rPr>
          <w:rFonts w:ascii="Times New Roman" w:hAnsi="Times New Roman"/>
          <w:b/>
          <w:sz w:val="28"/>
          <w:szCs w:val="28"/>
        </w:rPr>
        <w:t xml:space="preserve"> (MAFN)</w:t>
      </w:r>
      <w:r w:rsidRPr="002A250E">
        <w:rPr>
          <w:rFonts w:ascii="Times New Roman" w:hAnsi="Times New Roman"/>
          <w:b/>
          <w:sz w:val="28"/>
          <w:szCs w:val="28"/>
        </w:rPr>
        <w:t xml:space="preserve"> Model of US C</w:t>
      </w:r>
      <w:r w:rsidR="00DD5B33" w:rsidRPr="002A250E">
        <w:rPr>
          <w:rFonts w:ascii="Times New Roman" w:hAnsi="Times New Roman"/>
          <w:b/>
          <w:sz w:val="28"/>
          <w:szCs w:val="28"/>
        </w:rPr>
        <w:t>ollateralized Debt Obligation</w:t>
      </w:r>
      <w:r w:rsidR="00C02BE9" w:rsidRPr="002A250E">
        <w:rPr>
          <w:rFonts w:ascii="Times New Roman" w:hAnsi="Times New Roman"/>
          <w:b/>
          <w:sz w:val="28"/>
          <w:szCs w:val="28"/>
        </w:rPr>
        <w:t>s</w:t>
      </w:r>
      <w:r w:rsidR="00DD5B33" w:rsidRPr="002A250E">
        <w:rPr>
          <w:rFonts w:ascii="Times New Roman" w:hAnsi="Times New Roman"/>
          <w:b/>
          <w:sz w:val="28"/>
          <w:szCs w:val="28"/>
        </w:rPr>
        <w:t xml:space="preserve"> </w:t>
      </w:r>
      <w:r w:rsidRPr="002A250E">
        <w:rPr>
          <w:rFonts w:ascii="Times New Roman" w:hAnsi="Times New Roman"/>
          <w:b/>
          <w:sz w:val="28"/>
          <w:szCs w:val="28"/>
        </w:rPr>
        <w:t>(CD</w:t>
      </w:r>
      <w:r w:rsidR="00DD5B33" w:rsidRPr="002A250E">
        <w:rPr>
          <w:rFonts w:ascii="Times New Roman" w:hAnsi="Times New Roman"/>
          <w:b/>
          <w:sz w:val="28"/>
          <w:szCs w:val="28"/>
        </w:rPr>
        <w:t>O</w:t>
      </w:r>
      <w:r w:rsidRPr="002A250E">
        <w:rPr>
          <w:rFonts w:ascii="Times New Roman" w:hAnsi="Times New Roman"/>
          <w:b/>
          <w:sz w:val="28"/>
          <w:szCs w:val="28"/>
        </w:rPr>
        <w:t>):</w:t>
      </w:r>
      <w:r w:rsidR="009E581A" w:rsidRPr="002A250E">
        <w:rPr>
          <w:rFonts w:ascii="Times New Roman" w:hAnsi="Times New Roman"/>
          <w:b/>
          <w:sz w:val="28"/>
          <w:szCs w:val="28"/>
        </w:rPr>
        <w:t xml:space="preserve"> Regulatory Capital Arbitrage</w:t>
      </w:r>
      <w:r w:rsidR="006F26E7" w:rsidRPr="002A250E">
        <w:rPr>
          <w:rFonts w:ascii="Times New Roman" w:hAnsi="Times New Roman"/>
          <w:b/>
          <w:sz w:val="28"/>
          <w:szCs w:val="28"/>
        </w:rPr>
        <w:t>,</w:t>
      </w:r>
      <w:r w:rsidR="009E581A" w:rsidRPr="002A250E">
        <w:rPr>
          <w:rFonts w:ascii="Times New Roman" w:hAnsi="Times New Roman"/>
          <w:b/>
          <w:sz w:val="28"/>
          <w:szCs w:val="28"/>
        </w:rPr>
        <w:t xml:space="preserve"> </w:t>
      </w:r>
      <w:r w:rsidR="00B73709" w:rsidRPr="002A250E">
        <w:rPr>
          <w:rFonts w:ascii="Times New Roman" w:hAnsi="Times New Roman"/>
          <w:b/>
          <w:sz w:val="28"/>
          <w:szCs w:val="28"/>
        </w:rPr>
        <w:t>Negative CDS</w:t>
      </w:r>
      <w:r w:rsidRPr="002A250E">
        <w:rPr>
          <w:rFonts w:ascii="Times New Roman" w:hAnsi="Times New Roman"/>
          <w:b/>
          <w:sz w:val="28"/>
          <w:szCs w:val="28"/>
        </w:rPr>
        <w:t xml:space="preserve"> Carry Trade and Systemic Risk </w:t>
      </w:r>
      <w:r w:rsidR="0049476B" w:rsidRPr="002A250E">
        <w:rPr>
          <w:rFonts w:ascii="Times New Roman" w:hAnsi="Times New Roman"/>
          <w:b/>
          <w:sz w:val="28"/>
          <w:szCs w:val="28"/>
        </w:rPr>
        <w:t>Analysis</w:t>
      </w:r>
      <w:r w:rsidR="00B510A8" w:rsidRPr="002A250E">
        <w:rPr>
          <w:rFonts w:ascii="Times New Roman" w:hAnsi="Times New Roman"/>
          <w:b/>
          <w:sz w:val="28"/>
          <w:szCs w:val="28"/>
        </w:rPr>
        <w:br/>
      </w:r>
      <w:r w:rsidR="002A250E">
        <w:rPr>
          <w:rFonts w:ascii="Times New Roman" w:hAnsi="Times New Roman"/>
          <w:b/>
        </w:rPr>
        <w:t>Sheri M. Markose</w:t>
      </w:r>
      <w:r w:rsidR="002A250E">
        <w:rPr>
          <w:rStyle w:val="FootnoteReference"/>
          <w:rFonts w:ascii="Times New Roman" w:hAnsi="Times New Roman"/>
          <w:b/>
          <w:sz w:val="24"/>
          <w:szCs w:val="24"/>
          <w:lang w:eastAsia="en-GB"/>
        </w:rPr>
        <w:footnoteReference w:id="1"/>
      </w:r>
      <w:r w:rsidR="002A250E">
        <w:rPr>
          <w:rFonts w:ascii="Times New Roman" w:hAnsi="Times New Roman"/>
          <w:b/>
        </w:rPr>
        <w:t xml:space="preserve">, </w:t>
      </w:r>
      <w:r w:rsidR="002A250E" w:rsidRPr="002A250E">
        <w:rPr>
          <w:rFonts w:ascii="Times New Roman" w:hAnsi="Times New Roman"/>
          <w:b/>
          <w:sz w:val="24"/>
          <w:szCs w:val="24"/>
          <w:lang w:eastAsia="en-GB"/>
        </w:rPr>
        <w:t>Bewaji Ol</w:t>
      </w:r>
      <w:r w:rsidR="002A250E">
        <w:rPr>
          <w:rFonts w:ascii="Times New Roman" w:hAnsi="Times New Roman"/>
          <w:b/>
          <w:sz w:val="24"/>
          <w:szCs w:val="24"/>
          <w:lang w:eastAsia="en-GB"/>
        </w:rPr>
        <w:t>uwasegun* and Simone Giansante#</w:t>
      </w:r>
    </w:p>
    <w:p w:rsidR="006E3B79" w:rsidRPr="00994DC2" w:rsidRDefault="006E3B79" w:rsidP="004777D7">
      <w:pPr>
        <w:spacing w:line="360" w:lineRule="auto"/>
        <w:outlineLvl w:val="0"/>
        <w:rPr>
          <w:rFonts w:ascii="Times New Roman" w:hAnsi="Times New Roman"/>
          <w:b/>
        </w:rPr>
      </w:pPr>
    </w:p>
    <w:p w:rsidR="00B510A8" w:rsidRDefault="00B510A8" w:rsidP="00994DC2">
      <w:pPr>
        <w:pStyle w:val="Default"/>
        <w:spacing w:line="360" w:lineRule="auto"/>
        <w:jc w:val="both"/>
        <w:rPr>
          <w:rFonts w:ascii="Times New Roman" w:hAnsi="Times New Roman" w:cs="Times New Roman"/>
          <w:sz w:val="22"/>
          <w:szCs w:val="22"/>
        </w:rPr>
      </w:pPr>
      <w:r w:rsidRPr="0027237A">
        <w:rPr>
          <w:rFonts w:ascii="Times New Roman" w:hAnsi="Times New Roman" w:cs="Times New Roman"/>
          <w:b/>
        </w:rPr>
        <w:t>Abstract</w:t>
      </w:r>
      <w:proofErr w:type="gramStart"/>
      <w:r w:rsidRPr="0027237A">
        <w:rPr>
          <w:rFonts w:ascii="Times New Roman" w:hAnsi="Times New Roman" w:cs="Times New Roman"/>
          <w:b/>
        </w:rPr>
        <w:t>:</w:t>
      </w:r>
      <w:proofErr w:type="gramEnd"/>
      <w:r w:rsidR="00F4107A" w:rsidRPr="00994DC2">
        <w:rPr>
          <w:rFonts w:ascii="Times New Roman" w:hAnsi="Times New Roman" w:cs="Times New Roman"/>
          <w:b/>
          <w:sz w:val="22"/>
          <w:szCs w:val="22"/>
        </w:rPr>
        <w:br/>
      </w:r>
      <w:r w:rsidR="00657A41" w:rsidRPr="00994DC2">
        <w:rPr>
          <w:rFonts w:ascii="Times New Roman" w:hAnsi="Times New Roman" w:cs="Times New Roman"/>
          <w:sz w:val="22"/>
          <w:szCs w:val="22"/>
        </w:rPr>
        <w:t>A</w:t>
      </w:r>
      <w:r w:rsidR="00B31B9E" w:rsidRPr="00994DC2">
        <w:rPr>
          <w:rFonts w:ascii="Times New Roman" w:hAnsi="Times New Roman" w:cs="Times New Roman"/>
          <w:sz w:val="22"/>
          <w:szCs w:val="22"/>
        </w:rPr>
        <w:t xml:space="preserve"> d</w:t>
      </w:r>
      <w:r w:rsidRPr="00994DC2">
        <w:rPr>
          <w:rFonts w:ascii="Times New Roman" w:hAnsi="Times New Roman" w:cs="Times New Roman"/>
          <w:sz w:val="22"/>
          <w:szCs w:val="22"/>
        </w:rPr>
        <w:t>atabase driven multi-agent m</w:t>
      </w:r>
      <w:r w:rsidR="0049476B" w:rsidRPr="00994DC2">
        <w:rPr>
          <w:rFonts w:ascii="Times New Roman" w:hAnsi="Times New Roman" w:cs="Times New Roman"/>
          <w:sz w:val="22"/>
          <w:szCs w:val="22"/>
        </w:rPr>
        <w:t>o</w:t>
      </w:r>
      <w:r w:rsidRPr="00994DC2">
        <w:rPr>
          <w:rFonts w:ascii="Times New Roman" w:hAnsi="Times New Roman" w:cs="Times New Roman"/>
          <w:sz w:val="22"/>
          <w:szCs w:val="22"/>
        </w:rPr>
        <w:t>del</w:t>
      </w:r>
      <w:r w:rsidR="0049476B" w:rsidRPr="00994DC2">
        <w:rPr>
          <w:rFonts w:ascii="Times New Roman" w:hAnsi="Times New Roman" w:cs="Times New Roman"/>
          <w:sz w:val="22"/>
          <w:szCs w:val="22"/>
        </w:rPr>
        <w:t xml:space="preserve"> </w:t>
      </w:r>
      <w:r w:rsidR="00B31B9E" w:rsidRPr="00994DC2">
        <w:rPr>
          <w:rFonts w:ascii="Times New Roman" w:hAnsi="Times New Roman" w:cs="Times New Roman"/>
          <w:sz w:val="22"/>
          <w:szCs w:val="22"/>
        </w:rPr>
        <w:t>has been developed with automated access to US bank level FDIC Call Reports which yield data on balance sheet and off balance sheet activity</w:t>
      </w:r>
      <w:r w:rsidR="00925C7D" w:rsidRPr="00994DC2">
        <w:rPr>
          <w:rFonts w:ascii="Times New Roman" w:hAnsi="Times New Roman" w:cs="Times New Roman"/>
          <w:sz w:val="22"/>
          <w:szCs w:val="22"/>
        </w:rPr>
        <w:t>, respectively, in</w:t>
      </w:r>
      <w:r w:rsidR="00B31B9E" w:rsidRPr="00994DC2">
        <w:rPr>
          <w:rFonts w:ascii="Times New Roman" w:hAnsi="Times New Roman" w:cs="Times New Roman"/>
          <w:sz w:val="22"/>
          <w:szCs w:val="22"/>
        </w:rPr>
        <w:t xml:space="preserve"> </w:t>
      </w:r>
      <w:r w:rsidR="00925C7D" w:rsidRPr="00994DC2">
        <w:rPr>
          <w:rFonts w:ascii="Times New Roman" w:hAnsi="Times New Roman" w:cs="Times New Roman"/>
          <w:sz w:val="22"/>
          <w:szCs w:val="22"/>
        </w:rPr>
        <w:t xml:space="preserve">Residential Mortgage Backed Securities </w:t>
      </w:r>
      <w:r w:rsidR="00200191">
        <w:rPr>
          <w:rFonts w:ascii="Times New Roman" w:hAnsi="Times New Roman" w:cs="Times New Roman"/>
          <w:sz w:val="22"/>
          <w:szCs w:val="22"/>
        </w:rPr>
        <w:t xml:space="preserve">(RMBS) </w:t>
      </w:r>
      <w:r w:rsidR="004D45D9" w:rsidRPr="00994DC2">
        <w:rPr>
          <w:rFonts w:ascii="Times New Roman" w:hAnsi="Times New Roman" w:cs="Times New Roman"/>
          <w:sz w:val="22"/>
          <w:szCs w:val="22"/>
        </w:rPr>
        <w:t xml:space="preserve">and </w:t>
      </w:r>
      <w:r w:rsidR="00B31B9E" w:rsidRPr="00994DC2">
        <w:rPr>
          <w:rFonts w:ascii="Times New Roman" w:hAnsi="Times New Roman" w:cs="Times New Roman"/>
          <w:sz w:val="22"/>
          <w:szCs w:val="22"/>
        </w:rPr>
        <w:t>Credit Default Swap</w:t>
      </w:r>
      <w:r w:rsidR="004D45D9" w:rsidRPr="00994DC2">
        <w:rPr>
          <w:rFonts w:ascii="Times New Roman" w:hAnsi="Times New Roman" w:cs="Times New Roman"/>
          <w:sz w:val="22"/>
          <w:szCs w:val="22"/>
        </w:rPr>
        <w:t>s</w:t>
      </w:r>
      <w:r w:rsidR="00200191">
        <w:rPr>
          <w:rFonts w:ascii="Times New Roman" w:hAnsi="Times New Roman" w:cs="Times New Roman"/>
          <w:sz w:val="22"/>
          <w:szCs w:val="22"/>
        </w:rPr>
        <w:t xml:space="preserve"> (CDS)</w:t>
      </w:r>
      <w:r w:rsidR="00925C7D" w:rsidRPr="00994DC2">
        <w:rPr>
          <w:rFonts w:ascii="Times New Roman" w:hAnsi="Times New Roman" w:cs="Times New Roman"/>
          <w:sz w:val="22"/>
          <w:szCs w:val="22"/>
        </w:rPr>
        <w:t>.  The simultaneous accumulation of RMBS assets on US banks’ balance sheets and also large counterparty exposures from CDS</w:t>
      </w:r>
      <w:r w:rsidR="00B31B9E" w:rsidRPr="00994DC2">
        <w:rPr>
          <w:rFonts w:ascii="Times New Roman" w:hAnsi="Times New Roman" w:cs="Times New Roman"/>
          <w:sz w:val="22"/>
          <w:szCs w:val="22"/>
        </w:rPr>
        <w:t xml:space="preserve"> </w:t>
      </w:r>
      <w:r w:rsidR="00925C7D" w:rsidRPr="00994DC2">
        <w:rPr>
          <w:rFonts w:ascii="Times New Roman" w:hAnsi="Times New Roman" w:cs="Times New Roman"/>
          <w:sz w:val="22"/>
          <w:szCs w:val="22"/>
        </w:rPr>
        <w:t>positions</w:t>
      </w:r>
      <w:r w:rsidR="00DD5B33">
        <w:rPr>
          <w:rFonts w:ascii="Times New Roman" w:hAnsi="Times New Roman" w:cs="Times New Roman"/>
          <w:sz w:val="22"/>
          <w:szCs w:val="22"/>
        </w:rPr>
        <w:t xml:space="preserve"> characterized the $2 trillion </w:t>
      </w:r>
      <w:r w:rsidR="00B16098">
        <w:rPr>
          <w:rFonts w:ascii="Times New Roman" w:hAnsi="Times New Roman" w:cs="Times New Roman"/>
          <w:sz w:val="22"/>
          <w:szCs w:val="22"/>
        </w:rPr>
        <w:t>Collateralized Debt Obligation (</w:t>
      </w:r>
      <w:r w:rsidR="00DD5B33">
        <w:rPr>
          <w:rFonts w:ascii="Times New Roman" w:hAnsi="Times New Roman" w:cs="Times New Roman"/>
          <w:sz w:val="22"/>
          <w:szCs w:val="22"/>
        </w:rPr>
        <w:t>CDO</w:t>
      </w:r>
      <w:r w:rsidR="00B16098">
        <w:rPr>
          <w:rFonts w:ascii="Times New Roman" w:hAnsi="Times New Roman" w:cs="Times New Roman"/>
          <w:sz w:val="22"/>
          <w:szCs w:val="22"/>
        </w:rPr>
        <w:t>)</w:t>
      </w:r>
      <w:r w:rsidR="00DD5B33">
        <w:rPr>
          <w:rFonts w:ascii="Times New Roman" w:hAnsi="Times New Roman" w:cs="Times New Roman"/>
          <w:sz w:val="22"/>
          <w:szCs w:val="22"/>
        </w:rPr>
        <w:t xml:space="preserve"> market. The latter imploded by end of 2007 with large scale </w:t>
      </w:r>
      <w:r w:rsidR="00925C7D" w:rsidRPr="00994DC2">
        <w:rPr>
          <w:rFonts w:ascii="Times New Roman" w:hAnsi="Times New Roman" w:cs="Times New Roman"/>
          <w:sz w:val="22"/>
          <w:szCs w:val="22"/>
        </w:rPr>
        <w:t>systemic risk consequences</w:t>
      </w:r>
      <w:r w:rsidR="00DD5B33">
        <w:rPr>
          <w:rFonts w:ascii="Times New Roman" w:hAnsi="Times New Roman" w:cs="Times New Roman"/>
          <w:sz w:val="22"/>
          <w:szCs w:val="22"/>
        </w:rPr>
        <w:t>.</w:t>
      </w:r>
      <w:r w:rsidR="00925C7D" w:rsidRPr="00994DC2">
        <w:rPr>
          <w:rFonts w:ascii="Times New Roman" w:hAnsi="Times New Roman" w:cs="Times New Roman"/>
          <w:sz w:val="22"/>
          <w:szCs w:val="22"/>
        </w:rPr>
        <w:t xml:space="preserve"> Based on </w:t>
      </w:r>
      <w:r w:rsidR="004D45D9" w:rsidRPr="00994DC2">
        <w:rPr>
          <w:rFonts w:ascii="Times New Roman" w:hAnsi="Times New Roman" w:cs="Times New Roman"/>
          <w:sz w:val="22"/>
          <w:szCs w:val="22"/>
        </w:rPr>
        <w:t xml:space="preserve">US </w:t>
      </w:r>
      <w:r w:rsidR="002D110D">
        <w:rPr>
          <w:rFonts w:ascii="Times New Roman" w:hAnsi="Times New Roman" w:cs="Times New Roman"/>
          <w:sz w:val="22"/>
          <w:szCs w:val="22"/>
        </w:rPr>
        <w:t xml:space="preserve">FDIC </w:t>
      </w:r>
      <w:r w:rsidR="00925C7D" w:rsidRPr="00994DC2">
        <w:rPr>
          <w:rFonts w:ascii="Times New Roman" w:hAnsi="Times New Roman" w:cs="Times New Roman"/>
          <w:sz w:val="22"/>
          <w:szCs w:val="22"/>
        </w:rPr>
        <w:t>bank data</w:t>
      </w:r>
      <w:r w:rsidR="00465753" w:rsidRPr="00994DC2">
        <w:rPr>
          <w:rFonts w:ascii="Times New Roman" w:hAnsi="Times New Roman" w:cs="Times New Roman"/>
          <w:sz w:val="22"/>
          <w:szCs w:val="22"/>
        </w:rPr>
        <w:t>,</w:t>
      </w:r>
      <w:r w:rsidR="00925C7D" w:rsidRPr="00994DC2">
        <w:rPr>
          <w:rFonts w:ascii="Times New Roman" w:hAnsi="Times New Roman" w:cs="Times New Roman"/>
          <w:sz w:val="22"/>
          <w:szCs w:val="22"/>
        </w:rPr>
        <w:t xml:space="preserve"> </w:t>
      </w:r>
      <w:r w:rsidR="008D5254" w:rsidRPr="00994DC2">
        <w:rPr>
          <w:rFonts w:ascii="Times New Roman" w:hAnsi="Times New Roman" w:cs="Times New Roman"/>
          <w:sz w:val="22"/>
          <w:szCs w:val="22"/>
        </w:rPr>
        <w:t>that could have been available to the regulator at the time,</w:t>
      </w:r>
      <w:r w:rsidR="00DC4D25">
        <w:rPr>
          <w:rFonts w:ascii="Times New Roman" w:hAnsi="Times New Roman" w:cs="Times New Roman"/>
          <w:sz w:val="22"/>
          <w:szCs w:val="22"/>
        </w:rPr>
        <w:t xml:space="preserve"> </w:t>
      </w:r>
      <w:r w:rsidR="00925C7D" w:rsidRPr="00994DC2">
        <w:rPr>
          <w:rFonts w:ascii="Times New Roman" w:hAnsi="Times New Roman" w:cs="Times New Roman"/>
          <w:sz w:val="22"/>
          <w:szCs w:val="22"/>
        </w:rPr>
        <w:t xml:space="preserve">we investigate how a CDS </w:t>
      </w:r>
      <w:r w:rsidR="00BC096A" w:rsidRPr="00994DC2">
        <w:rPr>
          <w:rFonts w:ascii="Times New Roman" w:hAnsi="Times New Roman" w:cs="Times New Roman"/>
          <w:sz w:val="22"/>
          <w:szCs w:val="22"/>
        </w:rPr>
        <w:t xml:space="preserve">negative </w:t>
      </w:r>
      <w:r w:rsidR="00925C7D" w:rsidRPr="00994DC2">
        <w:rPr>
          <w:rFonts w:ascii="Times New Roman" w:hAnsi="Times New Roman" w:cs="Times New Roman"/>
          <w:sz w:val="22"/>
          <w:szCs w:val="22"/>
        </w:rPr>
        <w:t xml:space="preserve">carry trade combined with incentives provided by Basel </w:t>
      </w:r>
      <w:r w:rsidR="009060CF" w:rsidRPr="00994DC2">
        <w:rPr>
          <w:rFonts w:ascii="Times New Roman" w:hAnsi="Times New Roman" w:cs="Times New Roman"/>
          <w:sz w:val="22"/>
          <w:szCs w:val="22"/>
        </w:rPr>
        <w:t xml:space="preserve">II </w:t>
      </w:r>
      <w:r w:rsidR="00925C7D" w:rsidRPr="00994DC2">
        <w:rPr>
          <w:rFonts w:ascii="Times New Roman" w:hAnsi="Times New Roman" w:cs="Times New Roman"/>
          <w:sz w:val="22"/>
          <w:szCs w:val="22"/>
        </w:rPr>
        <w:t>and</w:t>
      </w:r>
      <w:r w:rsidR="00BC096A" w:rsidRPr="00994DC2">
        <w:rPr>
          <w:rFonts w:ascii="Times New Roman" w:hAnsi="Times New Roman" w:cs="Times New Roman"/>
          <w:sz w:val="22"/>
          <w:szCs w:val="22"/>
        </w:rPr>
        <w:t xml:space="preserve"> its precursor </w:t>
      </w:r>
      <w:r w:rsidR="007D5FE5" w:rsidRPr="00994DC2">
        <w:rPr>
          <w:rFonts w:ascii="Times New Roman" w:hAnsi="Times New Roman" w:cs="Times New Roman"/>
          <w:sz w:val="22"/>
          <w:szCs w:val="22"/>
        </w:rPr>
        <w:t>in</w:t>
      </w:r>
      <w:r w:rsidR="00BC096A" w:rsidRPr="00994DC2">
        <w:rPr>
          <w:rFonts w:ascii="Times New Roman" w:hAnsi="Times New Roman" w:cs="Times New Roman"/>
          <w:sz w:val="22"/>
          <w:szCs w:val="22"/>
        </w:rPr>
        <w:t xml:space="preserve"> the US</w:t>
      </w:r>
      <w:r w:rsidR="007D5FE5" w:rsidRPr="00994DC2">
        <w:rPr>
          <w:rFonts w:ascii="Times New Roman" w:hAnsi="Times New Roman" w:cs="Times New Roman"/>
          <w:sz w:val="22"/>
          <w:szCs w:val="22"/>
        </w:rPr>
        <w:t>,</w:t>
      </w:r>
      <w:r w:rsidR="00BC096A" w:rsidRPr="00994DC2">
        <w:rPr>
          <w:rFonts w:ascii="Times New Roman" w:hAnsi="Times New Roman" w:cs="Times New Roman"/>
          <w:sz w:val="22"/>
          <w:szCs w:val="22"/>
        </w:rPr>
        <w:t xml:space="preserve"> the </w:t>
      </w:r>
      <w:r w:rsidR="009060CF" w:rsidRPr="00994DC2">
        <w:rPr>
          <w:rFonts w:ascii="Times New Roman" w:hAnsi="Times New Roman" w:cs="Times New Roman"/>
          <w:sz w:val="22"/>
          <w:szCs w:val="22"/>
        </w:rPr>
        <w:t>Joint Agencies R</w:t>
      </w:r>
      <w:r w:rsidR="00472CCD" w:rsidRPr="00994DC2">
        <w:rPr>
          <w:rFonts w:ascii="Times New Roman" w:hAnsi="Times New Roman" w:cs="Times New Roman"/>
          <w:sz w:val="22"/>
          <w:szCs w:val="22"/>
        </w:rPr>
        <w:t>ule 66 Fed</w:t>
      </w:r>
      <w:r w:rsidR="00DA2B4E">
        <w:rPr>
          <w:rFonts w:ascii="Times New Roman" w:hAnsi="Times New Roman" w:cs="Times New Roman"/>
          <w:sz w:val="22"/>
          <w:szCs w:val="22"/>
        </w:rPr>
        <w:t>eral</w:t>
      </w:r>
      <w:r w:rsidR="00472CCD" w:rsidRPr="00994DC2">
        <w:rPr>
          <w:rFonts w:ascii="Times New Roman" w:hAnsi="Times New Roman" w:cs="Times New Roman"/>
          <w:sz w:val="22"/>
          <w:szCs w:val="22"/>
        </w:rPr>
        <w:t xml:space="preserve"> Reg</w:t>
      </w:r>
      <w:r w:rsidR="00DA2B4E">
        <w:rPr>
          <w:rFonts w:ascii="Times New Roman" w:hAnsi="Times New Roman" w:cs="Times New Roman"/>
          <w:sz w:val="22"/>
          <w:szCs w:val="22"/>
        </w:rPr>
        <w:t>ulation No</w:t>
      </w:r>
      <w:r w:rsidR="00472CCD" w:rsidRPr="00994DC2">
        <w:rPr>
          <w:rFonts w:ascii="Times New Roman" w:hAnsi="Times New Roman" w:cs="Times New Roman"/>
          <w:sz w:val="22"/>
          <w:szCs w:val="22"/>
        </w:rPr>
        <w:t xml:space="preserve">. 56914 </w:t>
      </w:r>
      <w:r w:rsidR="005E4E24" w:rsidRPr="00994DC2">
        <w:rPr>
          <w:rFonts w:ascii="Times New Roman" w:hAnsi="Times New Roman" w:cs="Times New Roman"/>
          <w:sz w:val="22"/>
          <w:szCs w:val="22"/>
        </w:rPr>
        <w:t>w</w:t>
      </w:r>
      <w:r w:rsidR="009060CF" w:rsidRPr="00994DC2">
        <w:rPr>
          <w:rFonts w:ascii="Times New Roman" w:hAnsi="Times New Roman" w:cs="Times New Roman"/>
          <w:sz w:val="22"/>
          <w:szCs w:val="22"/>
        </w:rPr>
        <w:t xml:space="preserve">hich </w:t>
      </w:r>
      <w:r w:rsidR="00472CCD" w:rsidRPr="00994DC2">
        <w:rPr>
          <w:rFonts w:ascii="Times New Roman" w:hAnsi="Times New Roman" w:cs="Times New Roman"/>
          <w:sz w:val="22"/>
          <w:szCs w:val="22"/>
        </w:rPr>
        <w:t>became effective on January 1, 2002</w:t>
      </w:r>
      <w:r w:rsidR="009060CF" w:rsidRPr="00994DC2">
        <w:rPr>
          <w:rFonts w:ascii="Times New Roman" w:hAnsi="Times New Roman" w:cs="Times New Roman"/>
          <w:sz w:val="22"/>
          <w:szCs w:val="22"/>
        </w:rPr>
        <w:t xml:space="preserve">, </w:t>
      </w:r>
      <w:r w:rsidR="00925C7D" w:rsidRPr="00994DC2">
        <w:rPr>
          <w:rFonts w:ascii="Times New Roman" w:hAnsi="Times New Roman" w:cs="Times New Roman"/>
          <w:sz w:val="22"/>
          <w:szCs w:val="22"/>
        </w:rPr>
        <w:t>on synthetic securitization</w:t>
      </w:r>
      <w:r w:rsidR="00A30632" w:rsidRPr="00994DC2">
        <w:rPr>
          <w:rFonts w:ascii="Times New Roman" w:hAnsi="Times New Roman" w:cs="Times New Roman"/>
          <w:sz w:val="22"/>
          <w:szCs w:val="22"/>
        </w:rPr>
        <w:t xml:space="preserve"> and credit risk transfer (CRT)</w:t>
      </w:r>
      <w:r w:rsidR="00D37382" w:rsidRPr="00994DC2">
        <w:rPr>
          <w:rFonts w:ascii="Times New Roman" w:hAnsi="Times New Roman" w:cs="Times New Roman"/>
          <w:sz w:val="22"/>
          <w:szCs w:val="22"/>
        </w:rPr>
        <w:t>,</w:t>
      </w:r>
      <w:r w:rsidR="00A30632" w:rsidRPr="00994DC2">
        <w:rPr>
          <w:rFonts w:ascii="Times New Roman" w:hAnsi="Times New Roman" w:cs="Times New Roman"/>
          <w:sz w:val="22"/>
          <w:szCs w:val="22"/>
        </w:rPr>
        <w:t xml:space="preserve"> </w:t>
      </w:r>
      <w:r w:rsidR="00925C7D" w:rsidRPr="00994DC2">
        <w:rPr>
          <w:rFonts w:ascii="Times New Roman" w:hAnsi="Times New Roman" w:cs="Times New Roman"/>
          <w:sz w:val="22"/>
          <w:szCs w:val="22"/>
        </w:rPr>
        <w:t>led to the</w:t>
      </w:r>
      <w:r w:rsidR="004D45D9" w:rsidRPr="00994DC2">
        <w:rPr>
          <w:rFonts w:ascii="Times New Roman" w:hAnsi="Times New Roman" w:cs="Times New Roman"/>
          <w:sz w:val="22"/>
          <w:szCs w:val="22"/>
        </w:rPr>
        <w:t xml:space="preserve"> unsustainable trends and </w:t>
      </w:r>
      <w:r w:rsidR="00465753" w:rsidRPr="00994DC2">
        <w:rPr>
          <w:rFonts w:ascii="Times New Roman" w:hAnsi="Times New Roman" w:cs="Times New Roman"/>
          <w:sz w:val="22"/>
          <w:szCs w:val="22"/>
        </w:rPr>
        <w:t>systemic risk</w:t>
      </w:r>
      <w:r w:rsidR="004D45D9" w:rsidRPr="00994DC2">
        <w:rPr>
          <w:rFonts w:ascii="Times New Roman" w:hAnsi="Times New Roman" w:cs="Times New Roman"/>
          <w:sz w:val="22"/>
          <w:szCs w:val="22"/>
        </w:rPr>
        <w:t xml:space="preserve">. </w:t>
      </w:r>
      <w:r w:rsidR="00465753" w:rsidRPr="00994DC2">
        <w:rPr>
          <w:rFonts w:ascii="Times New Roman" w:hAnsi="Times New Roman" w:cs="Times New Roman"/>
          <w:sz w:val="22"/>
          <w:szCs w:val="22"/>
        </w:rPr>
        <w:t>The resultant market structure with heavy concentration in CDS activity</w:t>
      </w:r>
      <w:r w:rsidR="006D0811" w:rsidRPr="00994DC2">
        <w:rPr>
          <w:rFonts w:ascii="Times New Roman" w:hAnsi="Times New Roman" w:cs="Times New Roman"/>
          <w:sz w:val="22"/>
          <w:szCs w:val="22"/>
        </w:rPr>
        <w:t xml:space="preserve"> </w:t>
      </w:r>
      <w:r w:rsidR="00D816D2">
        <w:rPr>
          <w:rFonts w:ascii="Times New Roman" w:hAnsi="Times New Roman" w:cs="Times New Roman"/>
          <w:sz w:val="22"/>
          <w:szCs w:val="22"/>
        </w:rPr>
        <w:t>involving</w:t>
      </w:r>
      <w:r w:rsidR="006D0811" w:rsidRPr="00994DC2">
        <w:rPr>
          <w:rFonts w:ascii="Times New Roman" w:hAnsi="Times New Roman" w:cs="Times New Roman"/>
          <w:sz w:val="22"/>
          <w:szCs w:val="22"/>
        </w:rPr>
        <w:t xml:space="preserve"> 5 US banks</w:t>
      </w:r>
      <w:r w:rsidR="005D22C7" w:rsidRPr="00994DC2">
        <w:rPr>
          <w:rFonts w:ascii="Times New Roman" w:hAnsi="Times New Roman" w:cs="Times New Roman"/>
          <w:sz w:val="22"/>
          <w:szCs w:val="22"/>
        </w:rPr>
        <w:t xml:space="preserve"> </w:t>
      </w:r>
      <w:proofErr w:type="gramStart"/>
      <w:r w:rsidR="00465753" w:rsidRPr="00994DC2">
        <w:rPr>
          <w:rFonts w:ascii="Times New Roman" w:hAnsi="Times New Roman" w:cs="Times New Roman"/>
          <w:sz w:val="22"/>
          <w:szCs w:val="22"/>
        </w:rPr>
        <w:t>can</w:t>
      </w:r>
      <w:proofErr w:type="gramEnd"/>
      <w:r w:rsidR="00465753" w:rsidRPr="00994DC2">
        <w:rPr>
          <w:rFonts w:ascii="Times New Roman" w:hAnsi="Times New Roman" w:cs="Times New Roman"/>
          <w:sz w:val="22"/>
          <w:szCs w:val="22"/>
        </w:rPr>
        <w:t xml:space="preserve"> be shown to present </w:t>
      </w:r>
      <w:r w:rsidR="00465753" w:rsidRPr="00994DC2">
        <w:rPr>
          <w:rFonts w:ascii="Times New Roman" w:hAnsi="Times New Roman" w:cs="Times New Roman"/>
          <w:i/>
          <w:sz w:val="22"/>
          <w:szCs w:val="22"/>
        </w:rPr>
        <w:t xml:space="preserve">too interconnected to fail </w:t>
      </w:r>
      <w:r w:rsidR="00465753" w:rsidRPr="00994DC2">
        <w:rPr>
          <w:rFonts w:ascii="Times New Roman" w:hAnsi="Times New Roman" w:cs="Times New Roman"/>
          <w:sz w:val="22"/>
          <w:szCs w:val="22"/>
        </w:rPr>
        <w:t xml:space="preserve">systemic risk outcomes. </w:t>
      </w:r>
      <w:r w:rsidR="001777CC" w:rsidRPr="00994DC2">
        <w:rPr>
          <w:rFonts w:ascii="Times New Roman" w:hAnsi="Times New Roman" w:cs="Times New Roman"/>
          <w:sz w:val="22"/>
          <w:szCs w:val="22"/>
        </w:rPr>
        <w:t xml:space="preserve">The </w:t>
      </w:r>
      <w:r w:rsidR="00C24988">
        <w:rPr>
          <w:rFonts w:ascii="Times New Roman" w:hAnsi="Times New Roman" w:cs="Times New Roman"/>
          <w:sz w:val="22"/>
          <w:szCs w:val="22"/>
        </w:rPr>
        <w:t>simulation</w:t>
      </w:r>
      <w:r w:rsidR="001777CC" w:rsidRPr="00994DC2">
        <w:rPr>
          <w:rFonts w:ascii="Times New Roman" w:hAnsi="Times New Roman" w:cs="Times New Roman"/>
          <w:sz w:val="22"/>
          <w:szCs w:val="22"/>
        </w:rPr>
        <w:t xml:space="preserve"> </w:t>
      </w:r>
      <w:r w:rsidR="00C24988">
        <w:rPr>
          <w:rFonts w:ascii="Times New Roman" w:hAnsi="Times New Roman" w:cs="Times New Roman"/>
          <w:sz w:val="22"/>
          <w:szCs w:val="22"/>
        </w:rPr>
        <w:t xml:space="preserve">package can generate the financial network of obligations of the US banks in the </w:t>
      </w:r>
      <w:r w:rsidR="004D45D9" w:rsidRPr="00994DC2">
        <w:rPr>
          <w:rFonts w:ascii="Times New Roman" w:hAnsi="Times New Roman" w:cs="Times New Roman"/>
          <w:sz w:val="22"/>
          <w:szCs w:val="22"/>
        </w:rPr>
        <w:t xml:space="preserve">CDS </w:t>
      </w:r>
      <w:r w:rsidR="001777CC" w:rsidRPr="00994DC2">
        <w:rPr>
          <w:rFonts w:ascii="Times New Roman" w:hAnsi="Times New Roman" w:cs="Times New Roman"/>
          <w:sz w:val="22"/>
          <w:szCs w:val="22"/>
        </w:rPr>
        <w:t>market.</w:t>
      </w:r>
      <w:r w:rsidR="009579E2" w:rsidRPr="00994DC2">
        <w:rPr>
          <w:rFonts w:ascii="Times New Roman" w:hAnsi="Times New Roman" w:cs="Times New Roman"/>
          <w:sz w:val="22"/>
          <w:szCs w:val="22"/>
        </w:rPr>
        <w:t xml:space="preserve"> We aim to show how such</w:t>
      </w:r>
      <w:r w:rsidR="00A77051" w:rsidRPr="00994DC2">
        <w:rPr>
          <w:rFonts w:ascii="Times New Roman" w:hAnsi="Times New Roman" w:cs="Times New Roman"/>
          <w:sz w:val="22"/>
          <w:szCs w:val="22"/>
        </w:rPr>
        <w:t xml:space="preserve"> a </w:t>
      </w:r>
      <w:r w:rsidR="009579E2" w:rsidRPr="00994DC2">
        <w:rPr>
          <w:rFonts w:ascii="Times New Roman" w:hAnsi="Times New Roman" w:cs="Times New Roman"/>
          <w:sz w:val="22"/>
          <w:szCs w:val="22"/>
        </w:rPr>
        <w:t xml:space="preserve">multi-agent </w:t>
      </w:r>
      <w:r w:rsidR="007D0C60">
        <w:rPr>
          <w:rFonts w:ascii="Times New Roman" w:hAnsi="Times New Roman" w:cs="Times New Roman"/>
          <w:sz w:val="22"/>
          <w:szCs w:val="22"/>
        </w:rPr>
        <w:t xml:space="preserve">financial network </w:t>
      </w:r>
      <w:r w:rsidR="00B664C7">
        <w:rPr>
          <w:rFonts w:ascii="Times New Roman" w:hAnsi="Times New Roman" w:cs="Times New Roman"/>
          <w:sz w:val="22"/>
          <w:szCs w:val="22"/>
        </w:rPr>
        <w:t xml:space="preserve">(MAFN) </w:t>
      </w:r>
      <w:r w:rsidR="009579E2" w:rsidRPr="00994DC2">
        <w:rPr>
          <w:rFonts w:ascii="Times New Roman" w:hAnsi="Times New Roman" w:cs="Times New Roman"/>
          <w:sz w:val="22"/>
          <w:szCs w:val="22"/>
        </w:rPr>
        <w:t xml:space="preserve">model is </w:t>
      </w:r>
      <w:r w:rsidR="00A77051" w:rsidRPr="00994DC2">
        <w:rPr>
          <w:rFonts w:ascii="Times New Roman" w:hAnsi="Times New Roman" w:cs="Times New Roman"/>
          <w:sz w:val="22"/>
          <w:szCs w:val="22"/>
        </w:rPr>
        <w:t xml:space="preserve">well suited </w:t>
      </w:r>
      <w:r w:rsidR="009579E2" w:rsidRPr="00994DC2">
        <w:rPr>
          <w:rFonts w:ascii="Times New Roman" w:hAnsi="Times New Roman" w:cs="Times New Roman"/>
          <w:sz w:val="22"/>
          <w:szCs w:val="22"/>
        </w:rPr>
        <w:t xml:space="preserve">to monitor bank activity and to stress test policy </w:t>
      </w:r>
      <w:r w:rsidR="00CE2F03" w:rsidRPr="00994DC2">
        <w:rPr>
          <w:rFonts w:ascii="Times New Roman" w:hAnsi="Times New Roman" w:cs="Times New Roman"/>
          <w:sz w:val="22"/>
          <w:szCs w:val="22"/>
        </w:rPr>
        <w:t xml:space="preserve">for perverse incentives </w:t>
      </w:r>
      <w:r w:rsidR="009579E2" w:rsidRPr="00994DC2">
        <w:rPr>
          <w:rFonts w:ascii="Times New Roman" w:hAnsi="Times New Roman" w:cs="Times New Roman"/>
          <w:sz w:val="22"/>
          <w:szCs w:val="22"/>
        </w:rPr>
        <w:t xml:space="preserve">on an ongoing basis. </w:t>
      </w:r>
      <w:r w:rsidR="001777CC" w:rsidRPr="00994DC2">
        <w:rPr>
          <w:rFonts w:ascii="Times New Roman" w:hAnsi="Times New Roman" w:cs="Times New Roman"/>
          <w:sz w:val="22"/>
          <w:szCs w:val="22"/>
        </w:rPr>
        <w:t xml:space="preserve"> </w:t>
      </w:r>
      <w:r w:rsidR="004D45D9" w:rsidRPr="00994DC2">
        <w:rPr>
          <w:rFonts w:ascii="Times New Roman" w:hAnsi="Times New Roman" w:cs="Times New Roman"/>
          <w:sz w:val="22"/>
          <w:szCs w:val="22"/>
        </w:rPr>
        <w:t xml:space="preserve"> </w:t>
      </w:r>
    </w:p>
    <w:p w:rsidR="00B81B86" w:rsidRDefault="00B81B86" w:rsidP="00B81B86">
      <w:pPr>
        <w:pStyle w:val="Default"/>
        <w:spacing w:line="360" w:lineRule="auto"/>
        <w:jc w:val="both"/>
        <w:rPr>
          <w:rFonts w:ascii="Times New Roman" w:hAnsi="Times New Roman" w:cs="Times New Roman"/>
          <w:sz w:val="22"/>
          <w:szCs w:val="22"/>
        </w:rPr>
      </w:pPr>
      <w:r w:rsidRPr="004D1C61">
        <w:rPr>
          <w:rFonts w:ascii="Times New Roman" w:hAnsi="Times New Roman" w:cs="Times New Roman"/>
          <w:b/>
          <w:sz w:val="22"/>
          <w:szCs w:val="22"/>
        </w:rPr>
        <w:t>Keywords:</w:t>
      </w:r>
      <w:r>
        <w:rPr>
          <w:rFonts w:ascii="Times New Roman" w:hAnsi="Times New Roman" w:cs="Times New Roman"/>
          <w:sz w:val="22"/>
          <w:szCs w:val="22"/>
        </w:rPr>
        <w:t xml:space="preserve">  Multi-agent Modelling; Stress Test of Policy; Credit Risk Transfer; </w:t>
      </w:r>
      <w:r w:rsidRPr="00994DC2">
        <w:rPr>
          <w:rFonts w:ascii="Times New Roman" w:hAnsi="Times New Roman" w:cs="Times New Roman"/>
          <w:sz w:val="22"/>
          <w:szCs w:val="22"/>
        </w:rPr>
        <w:t>Residential Mortgage Backed Securities</w:t>
      </w:r>
      <w:r>
        <w:rPr>
          <w:rFonts w:ascii="Times New Roman" w:hAnsi="Times New Roman" w:cs="Times New Roman"/>
          <w:sz w:val="22"/>
          <w:szCs w:val="22"/>
        </w:rPr>
        <w:t xml:space="preserve">; Collateralized Debt Obligation, </w:t>
      </w:r>
      <w:r w:rsidRPr="00994DC2">
        <w:rPr>
          <w:rFonts w:ascii="Times New Roman" w:hAnsi="Times New Roman" w:cs="Times New Roman"/>
          <w:sz w:val="22"/>
          <w:szCs w:val="22"/>
        </w:rPr>
        <w:t>Credit Default Swaps</w:t>
      </w:r>
      <w:r>
        <w:rPr>
          <w:rFonts w:ascii="Times New Roman" w:hAnsi="Times New Roman" w:cs="Times New Roman"/>
          <w:sz w:val="22"/>
          <w:szCs w:val="22"/>
        </w:rPr>
        <w:t xml:space="preserve"> </w:t>
      </w:r>
    </w:p>
    <w:p w:rsidR="004777D7" w:rsidRDefault="004777D7">
      <w:pPr>
        <w:spacing w:after="0" w:line="240" w:lineRule="auto"/>
        <w:rPr>
          <w:rFonts w:ascii="Times New Roman" w:hAnsi="Times New Roman"/>
          <w:color w:val="000000"/>
          <w:lang w:eastAsia="en-GB"/>
        </w:rPr>
      </w:pPr>
      <w:r>
        <w:rPr>
          <w:rFonts w:ascii="Times New Roman" w:hAnsi="Times New Roman"/>
        </w:rPr>
        <w:br w:type="page"/>
      </w:r>
    </w:p>
    <w:p w:rsidR="004777D7" w:rsidRPr="00E63546" w:rsidRDefault="004777D7" w:rsidP="003D4F32">
      <w:pPr>
        <w:spacing w:line="240" w:lineRule="auto"/>
        <w:jc w:val="center"/>
        <w:outlineLvl w:val="0"/>
        <w:rPr>
          <w:rFonts w:ascii="Times New Roman" w:hAnsi="Times New Roman"/>
          <w:b/>
          <w:sz w:val="24"/>
          <w:szCs w:val="24"/>
        </w:rPr>
      </w:pPr>
      <w:r w:rsidRPr="00E63546">
        <w:rPr>
          <w:rFonts w:ascii="Times New Roman" w:hAnsi="Times New Roman"/>
          <w:b/>
          <w:sz w:val="24"/>
          <w:szCs w:val="24"/>
        </w:rPr>
        <w:lastRenderedPageBreak/>
        <w:t>Multi-Agent Financial Network (MAFN) Model of US Collateralized Debt Obligations (CDO): Regulatory Capital Arbitrage, Negative CDS Carry Trade and Systemic Risk Analysis</w:t>
      </w:r>
      <w:r w:rsidRPr="00E63546">
        <w:rPr>
          <w:rFonts w:ascii="Times New Roman" w:hAnsi="Times New Roman"/>
          <w:b/>
          <w:sz w:val="24"/>
          <w:szCs w:val="24"/>
        </w:rPr>
        <w:br/>
      </w:r>
      <w:r w:rsidRPr="00E63546">
        <w:rPr>
          <w:rFonts w:ascii="Times New Roman" w:hAnsi="Times New Roman"/>
          <w:sz w:val="24"/>
          <w:szCs w:val="24"/>
        </w:rPr>
        <w:br/>
      </w:r>
    </w:p>
    <w:p w:rsidR="0099520B" w:rsidRPr="00FD6EBD" w:rsidRDefault="00D067AE" w:rsidP="00D067AE">
      <w:pPr>
        <w:pStyle w:val="Heading2"/>
        <w:numPr>
          <w:ilvl w:val="0"/>
          <w:numId w:val="0"/>
        </w:numPr>
        <w:spacing w:line="360" w:lineRule="auto"/>
        <w:ind w:left="576" w:hanging="576"/>
        <w:rPr>
          <w:rFonts w:ascii="Times New Roman" w:hAnsi="Times New Roman"/>
          <w:i w:val="0"/>
          <w:sz w:val="22"/>
          <w:szCs w:val="22"/>
        </w:rPr>
      </w:pPr>
      <w:r>
        <w:rPr>
          <w:rFonts w:ascii="Times New Roman" w:hAnsi="Times New Roman"/>
          <w:i w:val="0"/>
          <w:sz w:val="22"/>
          <w:szCs w:val="22"/>
        </w:rPr>
        <w:t xml:space="preserve">1.  </w:t>
      </w:r>
      <w:r w:rsidR="000137F0" w:rsidRPr="00FD6EBD">
        <w:rPr>
          <w:rFonts w:ascii="Times New Roman" w:hAnsi="Times New Roman"/>
          <w:i w:val="0"/>
          <w:sz w:val="22"/>
          <w:szCs w:val="22"/>
        </w:rPr>
        <w:t>I</w:t>
      </w:r>
      <w:r w:rsidR="0099520B" w:rsidRPr="00FD6EBD">
        <w:rPr>
          <w:rFonts w:ascii="Times New Roman" w:hAnsi="Times New Roman"/>
          <w:i w:val="0"/>
          <w:sz w:val="22"/>
          <w:szCs w:val="22"/>
        </w:rPr>
        <w:t>ntroduction</w:t>
      </w:r>
    </w:p>
    <w:p w:rsidR="00A77051" w:rsidRPr="00994DC2" w:rsidRDefault="008441F9" w:rsidP="00994DC2">
      <w:pPr>
        <w:autoSpaceDE w:val="0"/>
        <w:autoSpaceDN w:val="0"/>
        <w:adjustRightInd w:val="0"/>
        <w:spacing w:line="360" w:lineRule="auto"/>
        <w:jc w:val="both"/>
        <w:rPr>
          <w:rFonts w:ascii="Times New Roman" w:hAnsi="Times New Roman"/>
          <w:lang w:eastAsia="es-ES"/>
        </w:rPr>
      </w:pPr>
      <w:r w:rsidRPr="00994DC2">
        <w:rPr>
          <w:rFonts w:ascii="Times New Roman" w:hAnsi="Times New Roman"/>
        </w:rPr>
        <w:t xml:space="preserve">The 2007 financial crisis which started as the so called ‘sub-prime’ crisis in the US has had severe </w:t>
      </w:r>
      <w:proofErr w:type="gramStart"/>
      <w:r w:rsidRPr="00994DC2">
        <w:rPr>
          <w:rFonts w:ascii="Times New Roman" w:hAnsi="Times New Roman"/>
        </w:rPr>
        <w:t>global</w:t>
      </w:r>
      <w:proofErr w:type="gramEnd"/>
      <w:r w:rsidRPr="00994DC2">
        <w:rPr>
          <w:rFonts w:ascii="Times New Roman" w:hAnsi="Times New Roman"/>
        </w:rPr>
        <w:t xml:space="preserve"> repercussions. </w:t>
      </w:r>
      <w:r w:rsidR="0059485E" w:rsidRPr="00994DC2">
        <w:rPr>
          <w:rFonts w:ascii="Times New Roman" w:hAnsi="Times New Roman"/>
        </w:rPr>
        <w:t>There has been a c</w:t>
      </w:r>
      <w:r w:rsidRPr="00994DC2">
        <w:rPr>
          <w:rFonts w:ascii="Times New Roman" w:hAnsi="Times New Roman"/>
        </w:rPr>
        <w:t>ontraction in output and employment, bank bailouts</w:t>
      </w:r>
      <w:r w:rsidRPr="00994DC2">
        <w:rPr>
          <w:rStyle w:val="FootnoteReference"/>
          <w:rFonts w:ascii="Times New Roman" w:hAnsi="Times New Roman"/>
        </w:rPr>
        <w:footnoteReference w:id="2"/>
      </w:r>
      <w:r w:rsidR="006F26E7" w:rsidRPr="00994DC2">
        <w:rPr>
          <w:rFonts w:ascii="Times New Roman" w:hAnsi="Times New Roman"/>
        </w:rPr>
        <w:t>,</w:t>
      </w:r>
      <w:r w:rsidR="0059485E" w:rsidRPr="00994DC2">
        <w:rPr>
          <w:rFonts w:ascii="Times New Roman" w:hAnsi="Times New Roman"/>
        </w:rPr>
        <w:t xml:space="preserve"> </w:t>
      </w:r>
      <w:r w:rsidRPr="00994DC2">
        <w:rPr>
          <w:rFonts w:ascii="Times New Roman" w:hAnsi="Times New Roman"/>
        </w:rPr>
        <w:t>increased tax burdens and accelerated fiscal austerity to levels not previously recorded</w:t>
      </w:r>
      <w:r w:rsidR="0059485E" w:rsidRPr="00994DC2">
        <w:rPr>
          <w:rFonts w:ascii="Times New Roman" w:hAnsi="Times New Roman"/>
        </w:rPr>
        <w:t xml:space="preserve"> since the Great Depression</w:t>
      </w:r>
      <w:r w:rsidRPr="00994DC2">
        <w:rPr>
          <w:rFonts w:ascii="Times New Roman" w:hAnsi="Times New Roman"/>
        </w:rPr>
        <w:t>.  T</w:t>
      </w:r>
      <w:r w:rsidR="00C06E77" w:rsidRPr="00994DC2">
        <w:rPr>
          <w:rFonts w:ascii="Times New Roman" w:hAnsi="Times New Roman"/>
        </w:rPr>
        <w:t>he crisis has exposed shortcomings of monetary economics (Buiter, 2009) and the regulatory framework of Basel II (</w:t>
      </w:r>
      <w:proofErr w:type="spellStart"/>
      <w:r w:rsidR="00C06E77" w:rsidRPr="00994DC2">
        <w:rPr>
          <w:rFonts w:ascii="Times New Roman" w:hAnsi="Times New Roman"/>
        </w:rPr>
        <w:t>Brunnermier</w:t>
      </w:r>
      <w:proofErr w:type="spellEnd"/>
      <w:r w:rsidR="00C06E77" w:rsidRPr="00994DC2">
        <w:rPr>
          <w:rFonts w:ascii="Times New Roman" w:hAnsi="Times New Roman"/>
        </w:rPr>
        <w:t xml:space="preserve"> </w:t>
      </w:r>
      <w:r w:rsidR="00C06E77" w:rsidRPr="00994DC2">
        <w:rPr>
          <w:rFonts w:ascii="Times New Roman" w:hAnsi="Times New Roman"/>
          <w:i/>
        </w:rPr>
        <w:t>et al.</w:t>
      </w:r>
      <w:proofErr w:type="gramStart"/>
      <w:r w:rsidR="00C06E77" w:rsidRPr="00994DC2">
        <w:rPr>
          <w:rFonts w:ascii="Times New Roman" w:hAnsi="Times New Roman"/>
        </w:rPr>
        <w:t>,2009</w:t>
      </w:r>
      <w:proofErr w:type="gramEnd"/>
      <w:r w:rsidR="00C06E77" w:rsidRPr="00994DC2">
        <w:rPr>
          <w:rFonts w:ascii="Times New Roman" w:hAnsi="Times New Roman"/>
        </w:rPr>
        <w:t>, Hellwig, 2010, Ma</w:t>
      </w:r>
      <w:r w:rsidR="00F20A15" w:rsidRPr="00994DC2">
        <w:rPr>
          <w:rFonts w:ascii="Times New Roman" w:hAnsi="Times New Roman"/>
        </w:rPr>
        <w:t>rkose, 2011</w:t>
      </w:r>
      <w:r w:rsidR="00C06E77" w:rsidRPr="00994DC2">
        <w:rPr>
          <w:rFonts w:ascii="Times New Roman" w:hAnsi="Times New Roman"/>
        </w:rPr>
        <w:t>).</w:t>
      </w:r>
      <w:r w:rsidR="00C06E77" w:rsidRPr="00994DC2">
        <w:rPr>
          <w:rFonts w:ascii="Times New Roman" w:hAnsi="Times New Roman"/>
          <w:i/>
        </w:rPr>
        <w:t xml:space="preserve"> </w:t>
      </w:r>
      <w:r w:rsidR="001E409C">
        <w:rPr>
          <w:rFonts w:ascii="Times New Roman" w:hAnsi="Times New Roman"/>
        </w:rPr>
        <w:t xml:space="preserve"> </w:t>
      </w:r>
      <w:proofErr w:type="spellStart"/>
      <w:r w:rsidR="001E409C" w:rsidRPr="005B5A28">
        <w:rPr>
          <w:rFonts w:ascii="Times New Roman" w:hAnsi="Times New Roman"/>
        </w:rPr>
        <w:t>Eichengreen</w:t>
      </w:r>
      <w:proofErr w:type="spellEnd"/>
      <w:r w:rsidR="001E409C" w:rsidRPr="005B5A28">
        <w:rPr>
          <w:rFonts w:ascii="Times New Roman" w:hAnsi="Times New Roman"/>
        </w:rPr>
        <w:t xml:space="preserve"> (2010) </w:t>
      </w:r>
      <w:r w:rsidR="001E409C">
        <w:rPr>
          <w:rFonts w:ascii="Times New Roman" w:hAnsi="Times New Roman"/>
        </w:rPr>
        <w:t>has</w:t>
      </w:r>
      <w:r w:rsidR="001E409C" w:rsidRPr="005B5A28">
        <w:rPr>
          <w:rFonts w:ascii="Times New Roman" w:hAnsi="Times New Roman"/>
        </w:rPr>
        <w:t xml:space="preserve"> conclude</w:t>
      </w:r>
      <w:r w:rsidR="001E409C">
        <w:rPr>
          <w:rFonts w:ascii="Times New Roman" w:hAnsi="Times New Roman"/>
        </w:rPr>
        <w:t xml:space="preserve">d that </w:t>
      </w:r>
      <w:r w:rsidR="001E409C" w:rsidRPr="005B5A28">
        <w:rPr>
          <w:rFonts w:ascii="Times New Roman" w:hAnsi="Times New Roman"/>
        </w:rPr>
        <w:t xml:space="preserve">“fundamentally, the (2007) crisis is the result of flawed regulations and perverse incentives in financial </w:t>
      </w:r>
      <w:r w:rsidR="00585039" w:rsidRPr="005B5A28">
        <w:rPr>
          <w:rFonts w:ascii="Times New Roman" w:hAnsi="Times New Roman"/>
        </w:rPr>
        <w:t>markets”</w:t>
      </w:r>
      <w:r w:rsidR="001E409C" w:rsidRPr="005B5A28">
        <w:rPr>
          <w:rFonts w:ascii="Times New Roman" w:hAnsi="Times New Roman"/>
        </w:rPr>
        <w:t>.</w:t>
      </w:r>
      <w:r w:rsidR="001E409C">
        <w:rPr>
          <w:rFonts w:ascii="Times New Roman" w:hAnsi="Times New Roman"/>
        </w:rPr>
        <w:t xml:space="preserve">  </w:t>
      </w:r>
      <w:r w:rsidR="00C06E77" w:rsidRPr="00994DC2">
        <w:rPr>
          <w:rFonts w:ascii="Times New Roman" w:hAnsi="Times New Roman"/>
        </w:rPr>
        <w:t>Macroeconomic modelling and its use in policy analysis ha</w:t>
      </w:r>
      <w:r w:rsidR="004D1A72" w:rsidRPr="00994DC2">
        <w:rPr>
          <w:rFonts w:ascii="Times New Roman" w:hAnsi="Times New Roman"/>
        </w:rPr>
        <w:t>ve</w:t>
      </w:r>
      <w:r w:rsidR="00C06E77" w:rsidRPr="00994DC2">
        <w:rPr>
          <w:rFonts w:ascii="Times New Roman" w:hAnsi="Times New Roman"/>
        </w:rPr>
        <w:t xml:space="preserve"> come under heavy criticism. Critics have accused macroeconomists of </w:t>
      </w:r>
      <w:r w:rsidR="006F26E7" w:rsidRPr="00994DC2">
        <w:rPr>
          <w:rFonts w:ascii="Times New Roman" w:hAnsi="Times New Roman"/>
        </w:rPr>
        <w:t xml:space="preserve">an </w:t>
      </w:r>
      <w:r w:rsidR="009124B7" w:rsidRPr="00994DC2">
        <w:rPr>
          <w:rFonts w:ascii="Times New Roman" w:hAnsi="Times New Roman"/>
        </w:rPr>
        <w:t>in</w:t>
      </w:r>
      <w:r w:rsidR="006F26E7" w:rsidRPr="00994DC2">
        <w:rPr>
          <w:rFonts w:ascii="Times New Roman" w:hAnsi="Times New Roman"/>
        </w:rPr>
        <w:t>s</w:t>
      </w:r>
      <w:r w:rsidR="009124B7" w:rsidRPr="00994DC2">
        <w:rPr>
          <w:rFonts w:ascii="Times New Roman" w:hAnsi="Times New Roman"/>
        </w:rPr>
        <w:t>idious</w:t>
      </w:r>
      <w:r w:rsidR="00C06E77" w:rsidRPr="00994DC2">
        <w:rPr>
          <w:rFonts w:ascii="Times New Roman" w:hAnsi="Times New Roman"/>
        </w:rPr>
        <w:t xml:space="preserve"> reliance on a particular class of macroeconomic models that has abstracted away institutional details </w:t>
      </w:r>
      <w:r w:rsidR="007D0C60">
        <w:rPr>
          <w:rFonts w:ascii="Times New Roman" w:hAnsi="Times New Roman"/>
        </w:rPr>
        <w:t>and</w:t>
      </w:r>
      <w:r w:rsidR="00C06E77" w:rsidRPr="00994DC2">
        <w:rPr>
          <w:rFonts w:ascii="Times New Roman" w:hAnsi="Times New Roman"/>
        </w:rPr>
        <w:t xml:space="preserve"> financial interconnections in the provision of liquidity, capital adequacy and solvency (Wieland, 2010, Colander </w:t>
      </w:r>
      <w:proofErr w:type="gramStart"/>
      <w:r w:rsidR="00C06E77" w:rsidRPr="00994DC2">
        <w:rPr>
          <w:rFonts w:ascii="Times New Roman" w:hAnsi="Times New Roman"/>
          <w:i/>
        </w:rPr>
        <w:t>et</w:t>
      </w:r>
      <w:proofErr w:type="gramEnd"/>
      <w:r w:rsidR="00C06E77" w:rsidRPr="00994DC2">
        <w:rPr>
          <w:rFonts w:ascii="Times New Roman" w:hAnsi="Times New Roman"/>
          <w:i/>
        </w:rPr>
        <w:t xml:space="preserve"> al.</w:t>
      </w:r>
      <w:r w:rsidR="00C06E77" w:rsidRPr="00994DC2">
        <w:rPr>
          <w:rFonts w:ascii="Times New Roman" w:hAnsi="Times New Roman"/>
        </w:rPr>
        <w:t>2009).</w:t>
      </w:r>
      <w:r w:rsidRPr="00994DC2">
        <w:rPr>
          <w:rFonts w:ascii="Times New Roman" w:hAnsi="Times New Roman"/>
        </w:rPr>
        <w:t xml:space="preserve">  </w:t>
      </w:r>
      <w:r w:rsidR="0059485E" w:rsidRPr="00994DC2">
        <w:rPr>
          <w:rFonts w:ascii="Times New Roman" w:hAnsi="Times New Roman"/>
        </w:rPr>
        <w:t>Most of all</w:t>
      </w:r>
      <w:r w:rsidR="000B14BE">
        <w:rPr>
          <w:rFonts w:ascii="Times New Roman" w:hAnsi="Times New Roman"/>
        </w:rPr>
        <w:t>,</w:t>
      </w:r>
      <w:r w:rsidR="0059485E" w:rsidRPr="00994DC2">
        <w:rPr>
          <w:rFonts w:ascii="Times New Roman" w:hAnsi="Times New Roman"/>
        </w:rPr>
        <w:t xml:space="preserve"> </w:t>
      </w:r>
      <w:r w:rsidR="007F0BE1" w:rsidRPr="00994DC2">
        <w:rPr>
          <w:rFonts w:ascii="Times New Roman" w:hAnsi="Times New Roman"/>
        </w:rPr>
        <w:t xml:space="preserve">what is prominent is </w:t>
      </w:r>
      <w:r w:rsidR="0059485E" w:rsidRPr="00994DC2">
        <w:rPr>
          <w:rFonts w:ascii="Times New Roman" w:hAnsi="Times New Roman"/>
        </w:rPr>
        <w:t xml:space="preserve">the absence of </w:t>
      </w:r>
      <w:r w:rsidR="00792088" w:rsidRPr="00994DC2">
        <w:rPr>
          <w:rFonts w:ascii="Times New Roman" w:hAnsi="Times New Roman"/>
        </w:rPr>
        <w:t>a</w:t>
      </w:r>
      <w:r w:rsidR="0059485E" w:rsidRPr="00994DC2">
        <w:rPr>
          <w:rFonts w:ascii="Times New Roman" w:hAnsi="Times New Roman"/>
        </w:rPr>
        <w:t xml:space="preserve"> framework to deal with </w:t>
      </w:r>
      <w:r w:rsidR="00AA03CE" w:rsidRPr="00994DC2">
        <w:rPr>
          <w:rFonts w:ascii="Times New Roman" w:hAnsi="Times New Roman"/>
          <w:lang w:eastAsia="es-ES"/>
        </w:rPr>
        <w:t>regulatory and market failure arising from the negative externalities from excessive credit creation and leverage</w:t>
      </w:r>
      <w:r w:rsidR="0059485E" w:rsidRPr="00994DC2">
        <w:rPr>
          <w:rFonts w:ascii="Times New Roman" w:hAnsi="Times New Roman"/>
          <w:lang w:eastAsia="es-ES"/>
        </w:rPr>
        <w:t xml:space="preserve">. On the operational front, </w:t>
      </w:r>
      <w:r w:rsidR="007F0BE1" w:rsidRPr="00994DC2">
        <w:rPr>
          <w:rFonts w:ascii="Times New Roman" w:hAnsi="Times New Roman"/>
          <w:lang w:eastAsia="es-ES"/>
        </w:rPr>
        <w:t>s</w:t>
      </w:r>
      <w:r w:rsidR="00AA03CE" w:rsidRPr="00994DC2">
        <w:rPr>
          <w:rFonts w:ascii="Times New Roman" w:hAnsi="Times New Roman"/>
          <w:lang w:eastAsia="es-ES"/>
        </w:rPr>
        <w:t xml:space="preserve">erious </w:t>
      </w:r>
      <w:r w:rsidR="00A77051" w:rsidRPr="00994DC2">
        <w:rPr>
          <w:rFonts w:ascii="Times New Roman" w:hAnsi="Times New Roman"/>
          <w:lang w:eastAsia="es-ES"/>
        </w:rPr>
        <w:t xml:space="preserve">deficits </w:t>
      </w:r>
      <w:r w:rsidR="0059485E" w:rsidRPr="00994DC2">
        <w:rPr>
          <w:rFonts w:ascii="Times New Roman" w:hAnsi="Times New Roman"/>
          <w:lang w:eastAsia="es-ES"/>
        </w:rPr>
        <w:t xml:space="preserve">remain </w:t>
      </w:r>
      <w:r w:rsidR="00A77051" w:rsidRPr="00994DC2">
        <w:rPr>
          <w:rFonts w:ascii="Times New Roman" w:hAnsi="Times New Roman"/>
          <w:lang w:eastAsia="es-ES"/>
        </w:rPr>
        <w:t>in the economic</w:t>
      </w:r>
      <w:r w:rsidR="002D110D">
        <w:rPr>
          <w:rFonts w:ascii="Times New Roman" w:hAnsi="Times New Roman"/>
          <w:lang w:eastAsia="es-ES"/>
        </w:rPr>
        <w:t>s</w:t>
      </w:r>
      <w:r w:rsidR="00A77051" w:rsidRPr="00994DC2">
        <w:rPr>
          <w:rFonts w:ascii="Times New Roman" w:hAnsi="Times New Roman"/>
          <w:lang w:eastAsia="es-ES"/>
        </w:rPr>
        <w:t xml:space="preserve"> curricula </w:t>
      </w:r>
      <w:r w:rsidR="00144269" w:rsidRPr="00994DC2">
        <w:rPr>
          <w:rFonts w:ascii="Times New Roman" w:hAnsi="Times New Roman"/>
          <w:lang w:eastAsia="es-ES"/>
        </w:rPr>
        <w:t>in</w:t>
      </w:r>
      <w:r w:rsidR="00AA03CE" w:rsidRPr="00994DC2">
        <w:rPr>
          <w:rFonts w:ascii="Times New Roman" w:hAnsi="Times New Roman"/>
          <w:lang w:eastAsia="es-ES"/>
        </w:rPr>
        <w:t xml:space="preserve"> </w:t>
      </w:r>
      <w:r w:rsidR="00E306D7" w:rsidRPr="00994DC2">
        <w:rPr>
          <w:rFonts w:ascii="Times New Roman" w:hAnsi="Times New Roman"/>
          <w:lang w:eastAsia="es-ES"/>
        </w:rPr>
        <w:t>not providing</w:t>
      </w:r>
      <w:r w:rsidR="00A77051" w:rsidRPr="00994DC2">
        <w:rPr>
          <w:rFonts w:ascii="Times New Roman" w:hAnsi="Times New Roman"/>
          <w:lang w:eastAsia="es-ES"/>
        </w:rPr>
        <w:t xml:space="preserve"> </w:t>
      </w:r>
      <w:r w:rsidR="00AA03CE" w:rsidRPr="00994DC2">
        <w:rPr>
          <w:rFonts w:ascii="Times New Roman" w:hAnsi="Times New Roman"/>
          <w:lang w:eastAsia="es-ES"/>
        </w:rPr>
        <w:t xml:space="preserve">integrated quantitative tools for </w:t>
      </w:r>
      <w:r w:rsidR="00A77051" w:rsidRPr="00994DC2">
        <w:rPr>
          <w:rFonts w:ascii="Times New Roman" w:hAnsi="Times New Roman"/>
          <w:lang w:eastAsia="es-ES"/>
        </w:rPr>
        <w:t>holistic</w:t>
      </w:r>
      <w:r w:rsidR="00AA03CE" w:rsidRPr="00994DC2">
        <w:rPr>
          <w:rFonts w:ascii="Times New Roman" w:hAnsi="Times New Roman"/>
          <w:lang w:eastAsia="es-ES"/>
        </w:rPr>
        <w:t xml:space="preserve"> </w:t>
      </w:r>
      <w:r w:rsidR="00A77051" w:rsidRPr="00994DC2">
        <w:rPr>
          <w:rFonts w:ascii="Times New Roman" w:hAnsi="Times New Roman"/>
          <w:lang w:eastAsia="es-ES"/>
        </w:rPr>
        <w:t xml:space="preserve">visualization </w:t>
      </w:r>
      <w:r w:rsidR="00191277" w:rsidRPr="00994DC2">
        <w:rPr>
          <w:rFonts w:ascii="Times New Roman" w:hAnsi="Times New Roman"/>
          <w:lang w:eastAsia="es-ES"/>
        </w:rPr>
        <w:t xml:space="preserve">and monitoring </w:t>
      </w:r>
      <w:r w:rsidR="00AA03CE" w:rsidRPr="00994DC2">
        <w:rPr>
          <w:rFonts w:ascii="Times New Roman" w:hAnsi="Times New Roman"/>
          <w:lang w:eastAsia="es-ES"/>
        </w:rPr>
        <w:t>of the financial system</w:t>
      </w:r>
      <w:r w:rsidR="00851C6C" w:rsidRPr="00994DC2">
        <w:rPr>
          <w:rFonts w:ascii="Times New Roman" w:hAnsi="Times New Roman"/>
          <w:lang w:eastAsia="es-ES"/>
        </w:rPr>
        <w:t xml:space="preserve"> to identify </w:t>
      </w:r>
      <w:r w:rsidR="00E306D7" w:rsidRPr="00994DC2">
        <w:rPr>
          <w:rFonts w:ascii="Times New Roman" w:hAnsi="Times New Roman"/>
          <w:lang w:eastAsia="es-ES"/>
        </w:rPr>
        <w:t>systemic risk</w:t>
      </w:r>
      <w:r w:rsidR="00851C6C" w:rsidRPr="00994DC2">
        <w:rPr>
          <w:rFonts w:ascii="Times New Roman" w:hAnsi="Times New Roman"/>
          <w:lang w:eastAsia="es-ES"/>
        </w:rPr>
        <w:t xml:space="preserve"> threats from activities of financial firms</w:t>
      </w:r>
      <w:r w:rsidR="00AA03CE" w:rsidRPr="00994DC2">
        <w:rPr>
          <w:rFonts w:ascii="Times New Roman" w:hAnsi="Times New Roman"/>
          <w:lang w:eastAsia="es-ES"/>
        </w:rPr>
        <w:t xml:space="preserve">. </w:t>
      </w:r>
      <w:r w:rsidR="00645C44" w:rsidRPr="00D833C6">
        <w:rPr>
          <w:rFonts w:ascii="Times New Roman" w:hAnsi="Times New Roman"/>
          <w:lang w:eastAsia="es-ES"/>
        </w:rPr>
        <w:t>Further,</w:t>
      </w:r>
      <w:r w:rsidR="00645C44">
        <w:rPr>
          <w:rFonts w:ascii="Times New Roman" w:hAnsi="Times New Roman"/>
          <w:lang w:eastAsia="es-ES"/>
        </w:rPr>
        <w:t xml:space="preserve"> c</w:t>
      </w:r>
      <w:r w:rsidR="00AA03CE" w:rsidRPr="00994DC2">
        <w:rPr>
          <w:rFonts w:ascii="Times New Roman" w:hAnsi="Times New Roman"/>
          <w:lang w:eastAsia="es-ES"/>
        </w:rPr>
        <w:t xml:space="preserve">entral </w:t>
      </w:r>
      <w:r w:rsidR="00AC0356">
        <w:rPr>
          <w:rFonts w:ascii="Times New Roman" w:hAnsi="Times New Roman"/>
          <w:lang w:eastAsia="es-ES"/>
        </w:rPr>
        <w:t>tenets</w:t>
      </w:r>
      <w:r w:rsidR="00AA03CE" w:rsidRPr="00994DC2">
        <w:rPr>
          <w:rFonts w:ascii="Times New Roman" w:hAnsi="Times New Roman"/>
          <w:lang w:eastAsia="es-ES"/>
        </w:rPr>
        <w:t xml:space="preserve"> of the regulatory framework were</w:t>
      </w:r>
      <w:r w:rsidR="00E306D7" w:rsidRPr="00994DC2">
        <w:rPr>
          <w:rFonts w:ascii="Times New Roman" w:hAnsi="Times New Roman"/>
          <w:lang w:eastAsia="es-ES"/>
        </w:rPr>
        <w:t xml:space="preserve"> and continue </w:t>
      </w:r>
      <w:r w:rsidR="00AA03CE" w:rsidRPr="00994DC2">
        <w:rPr>
          <w:rFonts w:ascii="Times New Roman" w:hAnsi="Times New Roman"/>
          <w:lang w:eastAsia="es-ES"/>
        </w:rPr>
        <w:t>not</w:t>
      </w:r>
      <w:r w:rsidR="00E306D7" w:rsidRPr="00994DC2">
        <w:rPr>
          <w:rFonts w:ascii="Times New Roman" w:hAnsi="Times New Roman"/>
          <w:lang w:eastAsia="es-ES"/>
        </w:rPr>
        <w:t xml:space="preserve"> to be</w:t>
      </w:r>
      <w:r w:rsidR="00AA03CE" w:rsidRPr="00994DC2">
        <w:rPr>
          <w:rFonts w:ascii="Times New Roman" w:hAnsi="Times New Roman"/>
          <w:lang w:eastAsia="es-ES"/>
        </w:rPr>
        <w:t xml:space="preserve"> stress test</w:t>
      </w:r>
      <w:r w:rsidR="00CE2F03" w:rsidRPr="00994DC2">
        <w:rPr>
          <w:rFonts w:ascii="Times New Roman" w:hAnsi="Times New Roman"/>
          <w:lang w:eastAsia="es-ES"/>
        </w:rPr>
        <w:t>ed</w:t>
      </w:r>
      <w:r w:rsidR="00AA03CE" w:rsidRPr="00994DC2">
        <w:rPr>
          <w:rFonts w:ascii="Times New Roman" w:hAnsi="Times New Roman"/>
          <w:lang w:eastAsia="es-ES"/>
        </w:rPr>
        <w:t xml:space="preserve"> in an ongoing way to see if they </w:t>
      </w:r>
      <w:r w:rsidR="004D1A72" w:rsidRPr="00994DC2">
        <w:rPr>
          <w:rFonts w:ascii="Times New Roman" w:hAnsi="Times New Roman"/>
          <w:lang w:eastAsia="es-ES"/>
        </w:rPr>
        <w:t>ar</w:t>
      </w:r>
      <w:r w:rsidR="00AA03CE" w:rsidRPr="00994DC2">
        <w:rPr>
          <w:rFonts w:ascii="Times New Roman" w:hAnsi="Times New Roman"/>
          <w:lang w:eastAsia="es-ES"/>
        </w:rPr>
        <w:t xml:space="preserve">e prone to creating perverse incentives. </w:t>
      </w:r>
      <w:r w:rsidR="00851C6C" w:rsidRPr="00994DC2">
        <w:rPr>
          <w:rFonts w:ascii="Times New Roman" w:hAnsi="Times New Roman"/>
          <w:lang w:eastAsia="es-ES"/>
        </w:rPr>
        <w:t>The main objective of this paper is t</w:t>
      </w:r>
      <w:r w:rsidRPr="00994DC2">
        <w:rPr>
          <w:rFonts w:ascii="Times New Roman" w:hAnsi="Times New Roman"/>
          <w:lang w:eastAsia="es-ES"/>
        </w:rPr>
        <w:t xml:space="preserve">o provide </w:t>
      </w:r>
      <w:r w:rsidR="00234C14" w:rsidRPr="00994DC2">
        <w:rPr>
          <w:rFonts w:ascii="Times New Roman" w:hAnsi="Times New Roman"/>
          <w:lang w:eastAsia="es-ES"/>
        </w:rPr>
        <w:t>a</w:t>
      </w:r>
      <w:r w:rsidR="00191277" w:rsidRPr="00994DC2">
        <w:rPr>
          <w:rFonts w:ascii="Times New Roman" w:hAnsi="Times New Roman"/>
          <w:lang w:eastAsia="es-ES"/>
        </w:rPr>
        <w:t>n exemplar of a</w:t>
      </w:r>
      <w:r w:rsidR="00234C14" w:rsidRPr="00994DC2">
        <w:rPr>
          <w:rFonts w:ascii="Times New Roman" w:hAnsi="Times New Roman"/>
          <w:lang w:eastAsia="es-ES"/>
        </w:rPr>
        <w:t xml:space="preserve"> quantitative</w:t>
      </w:r>
      <w:r w:rsidR="00851C6C" w:rsidRPr="00994DC2">
        <w:rPr>
          <w:rFonts w:ascii="Times New Roman" w:hAnsi="Times New Roman"/>
          <w:lang w:eastAsia="es-ES"/>
        </w:rPr>
        <w:t xml:space="preserve"> integrative financial </w:t>
      </w:r>
      <w:r w:rsidR="00234C14" w:rsidRPr="00994DC2">
        <w:rPr>
          <w:rFonts w:ascii="Times New Roman" w:hAnsi="Times New Roman"/>
          <w:lang w:eastAsia="es-ES"/>
        </w:rPr>
        <w:t xml:space="preserve">framework </w:t>
      </w:r>
      <w:r w:rsidR="00A276F1">
        <w:rPr>
          <w:rFonts w:ascii="Times New Roman" w:hAnsi="Times New Roman"/>
          <w:lang w:eastAsia="es-ES"/>
        </w:rPr>
        <w:t xml:space="preserve">using multi-agent modelling </w:t>
      </w:r>
      <w:r w:rsidR="00234C14" w:rsidRPr="00994DC2">
        <w:rPr>
          <w:rFonts w:ascii="Times New Roman" w:hAnsi="Times New Roman"/>
          <w:lang w:eastAsia="es-ES"/>
        </w:rPr>
        <w:t xml:space="preserve">which </w:t>
      </w:r>
      <w:r w:rsidR="00F20A15" w:rsidRPr="00994DC2">
        <w:rPr>
          <w:rFonts w:ascii="Times New Roman" w:hAnsi="Times New Roman"/>
          <w:lang w:eastAsia="es-ES"/>
        </w:rPr>
        <w:t xml:space="preserve">can </w:t>
      </w:r>
      <w:r w:rsidR="005F1CCC" w:rsidRPr="00994DC2">
        <w:rPr>
          <w:rFonts w:ascii="Times New Roman" w:hAnsi="Times New Roman"/>
          <w:iCs/>
        </w:rPr>
        <w:t>monitor and analyse systemic risk from</w:t>
      </w:r>
      <w:r w:rsidR="007F0BE1" w:rsidRPr="00994DC2">
        <w:rPr>
          <w:rFonts w:ascii="Times New Roman" w:hAnsi="Times New Roman"/>
          <w:lang w:eastAsia="es-ES"/>
        </w:rPr>
        <w:t xml:space="preserve"> activit</w:t>
      </w:r>
      <w:r w:rsidR="00420848">
        <w:rPr>
          <w:rFonts w:ascii="Times New Roman" w:hAnsi="Times New Roman"/>
          <w:lang w:eastAsia="es-ES"/>
        </w:rPr>
        <w:t xml:space="preserve">ies of financial intermediaries </w:t>
      </w:r>
      <w:r w:rsidR="004C6723" w:rsidRPr="00994DC2">
        <w:rPr>
          <w:rFonts w:ascii="Times New Roman" w:hAnsi="Times New Roman"/>
          <w:lang w:eastAsia="es-ES"/>
        </w:rPr>
        <w:t>within the context of the regulat</w:t>
      </w:r>
      <w:r w:rsidR="005F1CCC" w:rsidRPr="00994DC2">
        <w:rPr>
          <w:rFonts w:ascii="Times New Roman" w:hAnsi="Times New Roman"/>
          <w:lang w:eastAsia="es-ES"/>
        </w:rPr>
        <w:t>ory incentives</w:t>
      </w:r>
      <w:r w:rsidR="00F20A15" w:rsidRPr="00994DC2">
        <w:rPr>
          <w:rFonts w:ascii="Times New Roman" w:hAnsi="Times New Roman"/>
          <w:lang w:eastAsia="es-ES"/>
        </w:rPr>
        <w:t xml:space="preserve"> </w:t>
      </w:r>
      <w:r w:rsidR="00B16098">
        <w:rPr>
          <w:rFonts w:ascii="Times New Roman" w:hAnsi="Times New Roman"/>
          <w:lang w:eastAsia="es-ES"/>
        </w:rPr>
        <w:t>and</w:t>
      </w:r>
      <w:r w:rsidR="00F20A15" w:rsidRPr="00994DC2">
        <w:rPr>
          <w:rFonts w:ascii="Times New Roman" w:hAnsi="Times New Roman"/>
          <w:lang w:eastAsia="es-ES"/>
        </w:rPr>
        <w:t xml:space="preserve"> prevailing market conditions</w:t>
      </w:r>
      <w:r w:rsidR="005F1CCC" w:rsidRPr="00994DC2">
        <w:rPr>
          <w:rFonts w:ascii="Times New Roman" w:hAnsi="Times New Roman"/>
          <w:lang w:eastAsia="es-ES"/>
        </w:rPr>
        <w:t xml:space="preserve">. </w:t>
      </w:r>
      <w:r w:rsidR="007F0BE1" w:rsidRPr="00994DC2">
        <w:rPr>
          <w:rFonts w:ascii="Times New Roman" w:hAnsi="Times New Roman"/>
          <w:lang w:eastAsia="es-ES"/>
        </w:rPr>
        <w:t xml:space="preserve">   </w:t>
      </w:r>
      <w:r w:rsidR="00AA03CE" w:rsidRPr="00994DC2">
        <w:rPr>
          <w:rFonts w:ascii="Times New Roman" w:hAnsi="Times New Roman"/>
          <w:lang w:eastAsia="es-ES"/>
        </w:rPr>
        <w:t xml:space="preserve">  </w:t>
      </w:r>
    </w:p>
    <w:p w:rsidR="00D21D70" w:rsidRPr="004B4FE3" w:rsidRDefault="00065396" w:rsidP="00B16098">
      <w:pPr>
        <w:pStyle w:val="NormalWeb"/>
        <w:spacing w:line="360" w:lineRule="auto"/>
        <w:rPr>
          <w:sz w:val="22"/>
          <w:szCs w:val="22"/>
        </w:rPr>
      </w:pPr>
      <w:r w:rsidRPr="00994DC2">
        <w:rPr>
          <w:sz w:val="22"/>
          <w:szCs w:val="22"/>
        </w:rPr>
        <w:t>T</w:t>
      </w:r>
      <w:r w:rsidR="00234C14" w:rsidRPr="00994DC2">
        <w:rPr>
          <w:sz w:val="22"/>
          <w:szCs w:val="22"/>
        </w:rPr>
        <w:t xml:space="preserve">he specific institutional propagators of the 2007 crisis involved residential mortgage backed securities (RMBS) </w:t>
      </w:r>
      <w:r w:rsidR="00291619" w:rsidRPr="00994DC2">
        <w:rPr>
          <w:sz w:val="22"/>
          <w:szCs w:val="22"/>
        </w:rPr>
        <w:t>which had grown to over $8.5 trillion in the US alone by 2006</w:t>
      </w:r>
      <w:r w:rsidR="00420848">
        <w:rPr>
          <w:sz w:val="22"/>
          <w:szCs w:val="22"/>
        </w:rPr>
        <w:t xml:space="preserve"> (Figure 1)</w:t>
      </w:r>
      <w:r w:rsidR="00291619" w:rsidRPr="00994DC2">
        <w:rPr>
          <w:sz w:val="22"/>
          <w:szCs w:val="22"/>
        </w:rPr>
        <w:t>, surpassing US securities and corporate bonds</w:t>
      </w:r>
      <w:r w:rsidR="002519CA" w:rsidRPr="00994DC2">
        <w:rPr>
          <w:sz w:val="22"/>
          <w:szCs w:val="22"/>
        </w:rPr>
        <w:t xml:space="preserve">. </w:t>
      </w:r>
      <w:r w:rsidRPr="00994DC2">
        <w:rPr>
          <w:sz w:val="22"/>
          <w:szCs w:val="22"/>
        </w:rPr>
        <w:t xml:space="preserve">This whole asset class suffered considerable </w:t>
      </w:r>
      <w:r w:rsidR="00291619" w:rsidRPr="00994DC2">
        <w:rPr>
          <w:sz w:val="22"/>
          <w:szCs w:val="22"/>
        </w:rPr>
        <w:t>impairment</w:t>
      </w:r>
      <w:r w:rsidRPr="00994DC2">
        <w:rPr>
          <w:sz w:val="22"/>
          <w:szCs w:val="22"/>
        </w:rPr>
        <w:t xml:space="preserve"> of market value </w:t>
      </w:r>
      <w:r w:rsidR="00291619" w:rsidRPr="00994DC2">
        <w:rPr>
          <w:sz w:val="22"/>
          <w:szCs w:val="22"/>
        </w:rPr>
        <w:t>with the collapse of US house prices</w:t>
      </w:r>
      <w:r w:rsidR="00191277" w:rsidRPr="00994DC2">
        <w:rPr>
          <w:sz w:val="22"/>
          <w:szCs w:val="22"/>
        </w:rPr>
        <w:t xml:space="preserve">. </w:t>
      </w:r>
      <w:r w:rsidR="00F221BB">
        <w:rPr>
          <w:sz w:val="22"/>
          <w:szCs w:val="22"/>
        </w:rPr>
        <w:t xml:space="preserve"> </w:t>
      </w:r>
      <w:r w:rsidR="00191277" w:rsidRPr="00994DC2">
        <w:rPr>
          <w:sz w:val="22"/>
          <w:szCs w:val="22"/>
        </w:rPr>
        <w:t>E</w:t>
      </w:r>
      <w:r w:rsidRPr="00994DC2">
        <w:rPr>
          <w:sz w:val="22"/>
          <w:szCs w:val="22"/>
        </w:rPr>
        <w:t>xcept for government agency issues,</w:t>
      </w:r>
      <w:r w:rsidR="00F03040" w:rsidRPr="00994DC2">
        <w:rPr>
          <w:sz w:val="22"/>
          <w:szCs w:val="22"/>
        </w:rPr>
        <w:t xml:space="preserve"> post 2008</w:t>
      </w:r>
      <w:r w:rsidR="00ED5C58">
        <w:rPr>
          <w:sz w:val="22"/>
          <w:szCs w:val="22"/>
        </w:rPr>
        <w:t>,</w:t>
      </w:r>
      <w:r w:rsidRPr="00994DC2">
        <w:rPr>
          <w:sz w:val="22"/>
          <w:szCs w:val="22"/>
        </w:rPr>
        <w:t xml:space="preserve"> new issuance of MBS has dropped to</w:t>
      </w:r>
      <w:r w:rsidR="00F702DD" w:rsidRPr="00994DC2">
        <w:rPr>
          <w:sz w:val="22"/>
          <w:szCs w:val="22"/>
        </w:rPr>
        <w:t xml:space="preserve"> almost</w:t>
      </w:r>
      <w:r w:rsidRPr="00994DC2">
        <w:rPr>
          <w:sz w:val="22"/>
          <w:szCs w:val="22"/>
        </w:rPr>
        <w:t xml:space="preserve"> zero</w:t>
      </w:r>
      <w:r w:rsidR="00254BE6" w:rsidRPr="00994DC2">
        <w:rPr>
          <w:sz w:val="22"/>
          <w:szCs w:val="22"/>
        </w:rPr>
        <w:t>.</w:t>
      </w:r>
      <w:r w:rsidR="00D52BF3" w:rsidRPr="00994DC2">
        <w:rPr>
          <w:sz w:val="22"/>
          <w:szCs w:val="22"/>
        </w:rPr>
        <w:t xml:space="preserve">  The build up of systemic risk occurred in two distinct</w:t>
      </w:r>
      <w:r w:rsidR="00520D19" w:rsidRPr="00994DC2">
        <w:rPr>
          <w:sz w:val="22"/>
          <w:szCs w:val="22"/>
        </w:rPr>
        <w:t xml:space="preserve"> </w:t>
      </w:r>
      <w:r w:rsidR="00D52BF3" w:rsidRPr="00994DC2">
        <w:rPr>
          <w:sz w:val="22"/>
          <w:szCs w:val="22"/>
        </w:rPr>
        <w:t>phases</w:t>
      </w:r>
      <w:r w:rsidR="002C6DC0">
        <w:rPr>
          <w:sz w:val="22"/>
          <w:szCs w:val="22"/>
        </w:rPr>
        <w:t xml:space="preserve">.  </w:t>
      </w:r>
      <w:r w:rsidR="002C6DC0" w:rsidRPr="00994DC2">
        <w:rPr>
          <w:sz w:val="22"/>
          <w:szCs w:val="22"/>
        </w:rPr>
        <w:t xml:space="preserve">In the </w:t>
      </w:r>
      <w:r w:rsidR="002C6DC0">
        <w:rPr>
          <w:sz w:val="22"/>
          <w:szCs w:val="22"/>
        </w:rPr>
        <w:t>first</w:t>
      </w:r>
      <w:r w:rsidR="002C6DC0" w:rsidRPr="00994DC2">
        <w:rPr>
          <w:sz w:val="22"/>
          <w:szCs w:val="22"/>
        </w:rPr>
        <w:t xml:space="preserve"> ‘originate and distribute’ phase of  securitization of bank loans, banks followed an aggressive strategy of loan portfolio expansion by overcoming restrictions placed by the size of a bank’s deposit base by reissuing the capital released from securitization into </w:t>
      </w:r>
      <w:r w:rsidR="002C6DC0" w:rsidRPr="00994DC2">
        <w:rPr>
          <w:sz w:val="22"/>
          <w:szCs w:val="22"/>
        </w:rPr>
        <w:lastRenderedPageBreak/>
        <w:t xml:space="preserve">new mortgages/loans.  This regulatory arbitrage which placed securitized assets off balance sheet in special purpose vehicles (SPV) in order to reduce the 8% minimum capital requirement of the Basel I Accord has been found by many (see, </w:t>
      </w:r>
      <w:proofErr w:type="spellStart"/>
      <w:r w:rsidR="002C6DC0" w:rsidRPr="00994DC2">
        <w:rPr>
          <w:sz w:val="22"/>
          <w:szCs w:val="22"/>
        </w:rPr>
        <w:t>Goderis</w:t>
      </w:r>
      <w:proofErr w:type="spellEnd"/>
      <w:r w:rsidR="002C6DC0" w:rsidRPr="00994DC2">
        <w:rPr>
          <w:sz w:val="22"/>
          <w:szCs w:val="22"/>
        </w:rPr>
        <w:t xml:space="preserve"> et. al. (2007)) to enable banks to achieve 50% higher loan target levels and reduce equity capital to asset ratio to about 5.3% as opposed to the 9.8</w:t>
      </w:r>
      <w:proofErr w:type="gramStart"/>
      <w:r w:rsidR="002C6DC0" w:rsidRPr="00994DC2">
        <w:rPr>
          <w:sz w:val="22"/>
          <w:szCs w:val="22"/>
        </w:rPr>
        <w:t>%  for</w:t>
      </w:r>
      <w:proofErr w:type="gramEnd"/>
      <w:r w:rsidR="002C6DC0" w:rsidRPr="00994DC2">
        <w:rPr>
          <w:sz w:val="22"/>
          <w:szCs w:val="22"/>
        </w:rPr>
        <w:t xml:space="preserve"> those that did not.  </w:t>
      </w:r>
      <w:r w:rsidR="002C6DC0">
        <w:rPr>
          <w:sz w:val="22"/>
          <w:szCs w:val="22"/>
        </w:rPr>
        <w:t>T</w:t>
      </w:r>
      <w:r w:rsidR="00C61CF6" w:rsidRPr="00994DC2">
        <w:rPr>
          <w:sz w:val="22"/>
          <w:szCs w:val="22"/>
        </w:rPr>
        <w:t xml:space="preserve">he second </w:t>
      </w:r>
      <w:r w:rsidR="002C6DC0">
        <w:rPr>
          <w:sz w:val="22"/>
          <w:szCs w:val="22"/>
        </w:rPr>
        <w:t xml:space="preserve">phase </w:t>
      </w:r>
      <w:r w:rsidR="00C61CF6" w:rsidRPr="00994DC2">
        <w:rPr>
          <w:sz w:val="22"/>
          <w:szCs w:val="22"/>
        </w:rPr>
        <w:t xml:space="preserve">of </w:t>
      </w:r>
      <w:r w:rsidR="002C6DC0">
        <w:rPr>
          <w:sz w:val="22"/>
          <w:szCs w:val="22"/>
        </w:rPr>
        <w:t xml:space="preserve">the </w:t>
      </w:r>
      <w:r w:rsidR="00432CA0">
        <w:rPr>
          <w:sz w:val="22"/>
          <w:szCs w:val="22"/>
        </w:rPr>
        <w:t>crisis</w:t>
      </w:r>
      <w:r w:rsidR="00C61CF6" w:rsidRPr="00994DC2">
        <w:rPr>
          <w:sz w:val="22"/>
          <w:szCs w:val="22"/>
        </w:rPr>
        <w:t xml:space="preserve"> involved an accelerat</w:t>
      </w:r>
      <w:r w:rsidR="007D0C60">
        <w:rPr>
          <w:sz w:val="22"/>
          <w:szCs w:val="22"/>
        </w:rPr>
        <w:t>ed</w:t>
      </w:r>
      <w:r w:rsidR="00C61CF6" w:rsidRPr="00994DC2">
        <w:rPr>
          <w:sz w:val="22"/>
          <w:szCs w:val="22"/>
        </w:rPr>
        <w:t xml:space="preserve"> growth of RMBS, especially in its subprime form, as collateral in</w:t>
      </w:r>
      <w:r w:rsidR="00E248A1" w:rsidRPr="00994DC2">
        <w:rPr>
          <w:sz w:val="22"/>
          <w:szCs w:val="22"/>
        </w:rPr>
        <w:t xml:space="preserve"> </w:t>
      </w:r>
      <w:r w:rsidR="006D2785" w:rsidRPr="00994DC2">
        <w:rPr>
          <w:sz w:val="22"/>
          <w:szCs w:val="22"/>
        </w:rPr>
        <w:t>structured collateralized debt obligations</w:t>
      </w:r>
      <w:r w:rsidR="00EE0C13" w:rsidRPr="00994DC2">
        <w:rPr>
          <w:sz w:val="22"/>
          <w:szCs w:val="22"/>
        </w:rPr>
        <w:t xml:space="preserve"> (CDO)</w:t>
      </w:r>
      <w:r w:rsidR="00EE0C13" w:rsidRPr="00994DC2">
        <w:rPr>
          <w:rStyle w:val="FootnoteReference"/>
          <w:sz w:val="22"/>
          <w:szCs w:val="22"/>
        </w:rPr>
        <w:footnoteReference w:id="3"/>
      </w:r>
      <w:r w:rsidR="006D2785" w:rsidRPr="00994DC2">
        <w:rPr>
          <w:sz w:val="22"/>
          <w:szCs w:val="22"/>
        </w:rPr>
        <w:t xml:space="preserve"> </w:t>
      </w:r>
      <w:r w:rsidR="00ED5C58">
        <w:rPr>
          <w:sz w:val="22"/>
          <w:szCs w:val="22"/>
        </w:rPr>
        <w:t xml:space="preserve"> </w:t>
      </w:r>
      <w:proofErr w:type="gramStart"/>
      <w:r w:rsidR="007D0C60">
        <w:rPr>
          <w:sz w:val="22"/>
          <w:szCs w:val="22"/>
        </w:rPr>
        <w:t>held</w:t>
      </w:r>
      <w:r w:rsidR="006D2785" w:rsidRPr="00994DC2">
        <w:rPr>
          <w:sz w:val="22"/>
          <w:szCs w:val="22"/>
        </w:rPr>
        <w:t xml:space="preserve"> </w:t>
      </w:r>
      <w:r w:rsidR="00E248A1" w:rsidRPr="00994DC2">
        <w:rPr>
          <w:sz w:val="22"/>
          <w:szCs w:val="22"/>
        </w:rPr>
        <w:t xml:space="preserve"> </w:t>
      </w:r>
      <w:r w:rsidR="006D2785" w:rsidRPr="00994DC2">
        <w:rPr>
          <w:sz w:val="22"/>
          <w:szCs w:val="22"/>
        </w:rPr>
        <w:t>as</w:t>
      </w:r>
      <w:proofErr w:type="gramEnd"/>
      <w:r w:rsidR="006D2785" w:rsidRPr="00994DC2">
        <w:rPr>
          <w:sz w:val="22"/>
          <w:szCs w:val="22"/>
        </w:rPr>
        <w:t xml:space="preserve"> </w:t>
      </w:r>
      <w:r w:rsidR="00E248A1" w:rsidRPr="00994DC2">
        <w:rPr>
          <w:sz w:val="22"/>
          <w:szCs w:val="22"/>
        </w:rPr>
        <w:t>bank</w:t>
      </w:r>
      <w:r w:rsidR="00254BE6" w:rsidRPr="00994DC2">
        <w:rPr>
          <w:sz w:val="22"/>
          <w:szCs w:val="22"/>
        </w:rPr>
        <w:t xml:space="preserve"> </w:t>
      </w:r>
      <w:r w:rsidR="006D2785" w:rsidRPr="00994DC2">
        <w:rPr>
          <w:sz w:val="22"/>
          <w:szCs w:val="22"/>
        </w:rPr>
        <w:t xml:space="preserve">assets and in </w:t>
      </w:r>
      <w:r w:rsidR="00254BE6" w:rsidRPr="00994DC2">
        <w:rPr>
          <w:sz w:val="22"/>
          <w:szCs w:val="22"/>
        </w:rPr>
        <w:t>bank liabilities in conduits such as asset backed commercial paper</w:t>
      </w:r>
      <w:r w:rsidR="00EE0C13" w:rsidRPr="00994DC2">
        <w:rPr>
          <w:sz w:val="22"/>
          <w:szCs w:val="22"/>
        </w:rPr>
        <w:t xml:space="preserve"> (ABCP)</w:t>
      </w:r>
      <w:r w:rsidR="00254BE6" w:rsidRPr="00994DC2">
        <w:rPr>
          <w:sz w:val="22"/>
          <w:szCs w:val="22"/>
        </w:rPr>
        <w:t xml:space="preserve"> in short term repo markets.  The</w:t>
      </w:r>
      <w:r w:rsidR="00E248A1" w:rsidRPr="00994DC2">
        <w:rPr>
          <w:sz w:val="22"/>
          <w:szCs w:val="22"/>
        </w:rPr>
        <w:t xml:space="preserve"> liquidity crunch is seen as a run on the repo market</w:t>
      </w:r>
      <w:r w:rsidR="002F5633" w:rsidRPr="00994DC2">
        <w:rPr>
          <w:sz w:val="22"/>
          <w:szCs w:val="22"/>
        </w:rPr>
        <w:t xml:space="preserve">.  As noted by </w:t>
      </w:r>
      <w:r w:rsidR="00E248A1" w:rsidRPr="00994DC2">
        <w:rPr>
          <w:sz w:val="22"/>
          <w:szCs w:val="22"/>
        </w:rPr>
        <w:t xml:space="preserve">Gorton </w:t>
      </w:r>
      <w:r w:rsidR="00733B5E">
        <w:rPr>
          <w:sz w:val="22"/>
          <w:szCs w:val="22"/>
        </w:rPr>
        <w:t xml:space="preserve">and </w:t>
      </w:r>
      <w:proofErr w:type="spellStart"/>
      <w:r w:rsidR="00733B5E">
        <w:rPr>
          <w:sz w:val="22"/>
          <w:szCs w:val="22"/>
        </w:rPr>
        <w:t>Metrich</w:t>
      </w:r>
      <w:proofErr w:type="spellEnd"/>
      <w:r w:rsidR="00733B5E">
        <w:rPr>
          <w:sz w:val="22"/>
          <w:szCs w:val="22"/>
        </w:rPr>
        <w:t xml:space="preserve"> </w:t>
      </w:r>
      <w:r w:rsidR="00E248A1" w:rsidRPr="00994DC2">
        <w:rPr>
          <w:sz w:val="22"/>
          <w:szCs w:val="22"/>
        </w:rPr>
        <w:t>(</w:t>
      </w:r>
      <w:r w:rsidR="00585039">
        <w:rPr>
          <w:sz w:val="22"/>
          <w:szCs w:val="22"/>
        </w:rPr>
        <w:t>2009</w:t>
      </w:r>
      <w:r w:rsidR="00585039" w:rsidRPr="00994DC2">
        <w:rPr>
          <w:sz w:val="22"/>
          <w:szCs w:val="22"/>
        </w:rPr>
        <w:t>)</w:t>
      </w:r>
      <w:r w:rsidR="002F5633" w:rsidRPr="00994DC2">
        <w:rPr>
          <w:sz w:val="22"/>
          <w:szCs w:val="22"/>
        </w:rPr>
        <w:t xml:space="preserve"> outdated models of money and banking prevented central banks and supervisory bodies from seeing the $12 </w:t>
      </w:r>
      <w:r w:rsidR="00585039" w:rsidRPr="00994DC2">
        <w:rPr>
          <w:sz w:val="22"/>
          <w:szCs w:val="22"/>
        </w:rPr>
        <w:t xml:space="preserve">trillion </w:t>
      </w:r>
      <w:proofErr w:type="spellStart"/>
      <w:r w:rsidR="00585039" w:rsidRPr="00994DC2">
        <w:rPr>
          <w:sz w:val="22"/>
          <w:szCs w:val="22"/>
        </w:rPr>
        <w:t>procyclically</w:t>
      </w:r>
      <w:proofErr w:type="spellEnd"/>
      <w:r w:rsidR="002F5633" w:rsidRPr="00994DC2">
        <w:rPr>
          <w:sz w:val="22"/>
          <w:szCs w:val="22"/>
        </w:rPr>
        <w:t xml:space="preserve"> sensitive collateralized securities </w:t>
      </w:r>
      <w:r w:rsidR="00733B5E">
        <w:rPr>
          <w:sz w:val="22"/>
          <w:szCs w:val="22"/>
        </w:rPr>
        <w:t xml:space="preserve">in the repo </w:t>
      </w:r>
      <w:r w:rsidR="00ED5C58">
        <w:rPr>
          <w:sz w:val="22"/>
          <w:szCs w:val="22"/>
        </w:rPr>
        <w:t xml:space="preserve">and shadow banking system </w:t>
      </w:r>
      <w:r w:rsidR="002F5633" w:rsidRPr="00994DC2">
        <w:rPr>
          <w:sz w:val="22"/>
          <w:szCs w:val="22"/>
        </w:rPr>
        <w:t xml:space="preserve">as being part of the </w:t>
      </w:r>
      <w:r w:rsidR="00E248A1" w:rsidRPr="00994DC2">
        <w:rPr>
          <w:sz w:val="22"/>
          <w:szCs w:val="22"/>
        </w:rPr>
        <w:t xml:space="preserve">fractional system of </w:t>
      </w:r>
      <w:r w:rsidR="00CF2B0B" w:rsidRPr="00994DC2">
        <w:rPr>
          <w:sz w:val="22"/>
          <w:szCs w:val="22"/>
        </w:rPr>
        <w:t xml:space="preserve">private </w:t>
      </w:r>
      <w:r w:rsidR="00E248A1" w:rsidRPr="00994DC2">
        <w:rPr>
          <w:sz w:val="22"/>
          <w:szCs w:val="22"/>
        </w:rPr>
        <w:t xml:space="preserve">credit creation </w:t>
      </w:r>
      <w:r w:rsidR="002F5633" w:rsidRPr="00994DC2">
        <w:rPr>
          <w:sz w:val="22"/>
          <w:szCs w:val="22"/>
        </w:rPr>
        <w:t>which will suffer</w:t>
      </w:r>
      <w:r w:rsidR="00C1126B" w:rsidRPr="00994DC2">
        <w:rPr>
          <w:sz w:val="22"/>
          <w:szCs w:val="22"/>
        </w:rPr>
        <w:t xml:space="preserve"> convertibility </w:t>
      </w:r>
      <w:r w:rsidR="002F5633" w:rsidRPr="00994DC2">
        <w:rPr>
          <w:sz w:val="22"/>
          <w:szCs w:val="22"/>
        </w:rPr>
        <w:t>problems vis-</w:t>
      </w:r>
      <w:r w:rsidR="00F702DD" w:rsidRPr="00994DC2">
        <w:rPr>
          <w:sz w:val="22"/>
          <w:szCs w:val="22"/>
        </w:rPr>
        <w:t>à-</w:t>
      </w:r>
      <w:r w:rsidR="002F5633" w:rsidRPr="00994DC2">
        <w:rPr>
          <w:sz w:val="22"/>
          <w:szCs w:val="22"/>
        </w:rPr>
        <w:t xml:space="preserve">vis </w:t>
      </w:r>
      <w:r w:rsidR="002D110D">
        <w:rPr>
          <w:sz w:val="22"/>
          <w:szCs w:val="22"/>
        </w:rPr>
        <w:t xml:space="preserve">central bank </w:t>
      </w:r>
      <w:r w:rsidR="002F5633" w:rsidRPr="00994DC2">
        <w:rPr>
          <w:sz w:val="22"/>
          <w:szCs w:val="22"/>
        </w:rPr>
        <w:t xml:space="preserve">regulated funds and reserves for which the tax payer remains liable. </w:t>
      </w:r>
      <w:r w:rsidR="00C1126B" w:rsidRPr="00994DC2">
        <w:rPr>
          <w:sz w:val="22"/>
          <w:szCs w:val="22"/>
        </w:rPr>
        <w:t xml:space="preserve"> </w:t>
      </w:r>
      <w:r w:rsidR="00591597" w:rsidRPr="00994DC2">
        <w:rPr>
          <w:sz w:val="22"/>
          <w:szCs w:val="22"/>
        </w:rPr>
        <w:t xml:space="preserve">  </w:t>
      </w:r>
      <w:r w:rsidR="00E248A1" w:rsidRPr="00994DC2">
        <w:rPr>
          <w:sz w:val="22"/>
          <w:szCs w:val="22"/>
        </w:rPr>
        <w:t xml:space="preserve"> </w:t>
      </w:r>
      <w:r w:rsidR="00254BE6" w:rsidRPr="00994DC2">
        <w:rPr>
          <w:sz w:val="22"/>
          <w:szCs w:val="22"/>
        </w:rPr>
        <w:t xml:space="preserve">  </w:t>
      </w:r>
      <w:r w:rsidR="00C61CF6" w:rsidRPr="00994DC2">
        <w:rPr>
          <w:sz w:val="22"/>
          <w:szCs w:val="22"/>
        </w:rPr>
        <w:t xml:space="preserve">  </w:t>
      </w:r>
      <w:r w:rsidR="009E0019" w:rsidRPr="00994DC2">
        <w:rPr>
          <w:sz w:val="22"/>
          <w:szCs w:val="22"/>
        </w:rPr>
        <w:br/>
      </w:r>
      <w:r w:rsidR="007D0C60">
        <w:rPr>
          <w:sz w:val="22"/>
          <w:szCs w:val="22"/>
        </w:rPr>
        <w:br/>
      </w:r>
      <w:r w:rsidR="009239C4">
        <w:rPr>
          <w:sz w:val="22"/>
          <w:szCs w:val="22"/>
        </w:rPr>
        <w:t>Emphasizin</w:t>
      </w:r>
      <w:r w:rsidR="003972C2" w:rsidRPr="00994DC2">
        <w:rPr>
          <w:sz w:val="22"/>
          <w:szCs w:val="22"/>
        </w:rPr>
        <w:t xml:space="preserve">g the problem of how </w:t>
      </w:r>
      <w:r w:rsidR="00AC0356">
        <w:rPr>
          <w:sz w:val="22"/>
          <w:szCs w:val="22"/>
        </w:rPr>
        <w:t xml:space="preserve">the above </w:t>
      </w:r>
      <w:r w:rsidR="003972C2" w:rsidRPr="00994DC2">
        <w:rPr>
          <w:sz w:val="22"/>
          <w:szCs w:val="22"/>
        </w:rPr>
        <w:t>individual</w:t>
      </w:r>
      <w:r w:rsidR="00432CA0">
        <w:rPr>
          <w:sz w:val="22"/>
          <w:szCs w:val="22"/>
        </w:rPr>
        <w:t>ly rational</w:t>
      </w:r>
      <w:r w:rsidR="003972C2" w:rsidRPr="00994DC2">
        <w:rPr>
          <w:sz w:val="22"/>
          <w:szCs w:val="22"/>
        </w:rPr>
        <w:t xml:space="preserve"> activity of financial institutions</w:t>
      </w:r>
      <w:r w:rsidR="00A276F1">
        <w:rPr>
          <w:sz w:val="22"/>
          <w:szCs w:val="22"/>
        </w:rPr>
        <w:t xml:space="preserve"> </w:t>
      </w:r>
      <w:r w:rsidR="00AC0356">
        <w:rPr>
          <w:sz w:val="22"/>
          <w:szCs w:val="22"/>
        </w:rPr>
        <w:t xml:space="preserve">aimed at expanding their loan market share </w:t>
      </w:r>
      <w:r w:rsidR="003972C2" w:rsidRPr="00994DC2">
        <w:rPr>
          <w:sz w:val="22"/>
          <w:szCs w:val="22"/>
        </w:rPr>
        <w:t>will undermine system stability, Jones (2000)</w:t>
      </w:r>
      <w:r w:rsidR="009239C4">
        <w:rPr>
          <w:sz w:val="22"/>
          <w:szCs w:val="22"/>
        </w:rPr>
        <w:t>,</w:t>
      </w:r>
      <w:r w:rsidR="003972C2" w:rsidRPr="00994DC2">
        <w:rPr>
          <w:sz w:val="22"/>
          <w:szCs w:val="22"/>
        </w:rPr>
        <w:t xml:space="preserve"> </w:t>
      </w:r>
      <w:r w:rsidR="0062137F" w:rsidRPr="00994DC2">
        <w:rPr>
          <w:sz w:val="22"/>
          <w:szCs w:val="22"/>
        </w:rPr>
        <w:t>from the Division of Research and Statistics of the Board of Governors of the Federal Reserve System</w:t>
      </w:r>
      <w:r w:rsidR="00F20A15" w:rsidRPr="00994DC2">
        <w:rPr>
          <w:sz w:val="22"/>
          <w:szCs w:val="22"/>
        </w:rPr>
        <w:t>,</w:t>
      </w:r>
      <w:r w:rsidR="0062137F" w:rsidRPr="00994DC2">
        <w:rPr>
          <w:sz w:val="22"/>
          <w:szCs w:val="22"/>
        </w:rPr>
        <w:t xml:space="preserve"> stated “absent measures to reduce incentives or opportunities for regulatory capital arbitrage, over time such developments could undermine the usefulness of formal capital requirements as prudential policy tools”. </w:t>
      </w:r>
      <w:r w:rsidR="00F4107A" w:rsidRPr="00994DC2">
        <w:rPr>
          <w:sz w:val="22"/>
          <w:szCs w:val="22"/>
        </w:rPr>
        <w:t xml:space="preserve"> </w:t>
      </w:r>
      <w:r w:rsidR="0062137F" w:rsidRPr="00994DC2">
        <w:rPr>
          <w:sz w:val="22"/>
          <w:szCs w:val="22"/>
        </w:rPr>
        <w:t>Jones note</w:t>
      </w:r>
      <w:r w:rsidR="00C1126B" w:rsidRPr="00994DC2">
        <w:rPr>
          <w:sz w:val="22"/>
          <w:szCs w:val="22"/>
        </w:rPr>
        <w:t>d</w:t>
      </w:r>
      <w:r w:rsidR="0062137F" w:rsidRPr="00994DC2">
        <w:rPr>
          <w:sz w:val="22"/>
          <w:szCs w:val="22"/>
        </w:rPr>
        <w:t xml:space="preserve"> that </w:t>
      </w:r>
      <w:r w:rsidR="00F20A15" w:rsidRPr="00994DC2">
        <w:rPr>
          <w:sz w:val="22"/>
          <w:szCs w:val="22"/>
        </w:rPr>
        <w:t xml:space="preserve">regulatory capital arbitrage </w:t>
      </w:r>
      <w:r w:rsidR="0062137F" w:rsidRPr="00994DC2">
        <w:rPr>
          <w:sz w:val="22"/>
          <w:szCs w:val="22"/>
        </w:rPr>
        <w:t>has attracted scant academic attention</w:t>
      </w:r>
      <w:r w:rsidR="00C1126B" w:rsidRPr="00994DC2">
        <w:rPr>
          <w:sz w:val="22"/>
          <w:szCs w:val="22"/>
        </w:rPr>
        <w:t xml:space="preserve">, or for that matter </w:t>
      </w:r>
      <w:r w:rsidR="006D2785" w:rsidRPr="00994DC2">
        <w:rPr>
          <w:sz w:val="22"/>
          <w:szCs w:val="22"/>
        </w:rPr>
        <w:t>as a key aspect of regulatory design,</w:t>
      </w:r>
      <w:r w:rsidR="0062137F" w:rsidRPr="00994DC2">
        <w:rPr>
          <w:sz w:val="22"/>
          <w:szCs w:val="22"/>
        </w:rPr>
        <w:t xml:space="preserve"> and appears to think that</w:t>
      </w:r>
      <w:r w:rsidR="006D2785" w:rsidRPr="00994DC2">
        <w:rPr>
          <w:sz w:val="22"/>
          <w:szCs w:val="22"/>
        </w:rPr>
        <w:t xml:space="preserve"> this is due to</w:t>
      </w:r>
      <w:r w:rsidR="0062137F" w:rsidRPr="00994DC2">
        <w:rPr>
          <w:sz w:val="22"/>
          <w:szCs w:val="22"/>
        </w:rPr>
        <w:t xml:space="preserve"> a lack of </w:t>
      </w:r>
      <w:r w:rsidR="00980B21" w:rsidRPr="00994DC2">
        <w:rPr>
          <w:sz w:val="22"/>
          <w:szCs w:val="22"/>
        </w:rPr>
        <w:t>sufficient time series data</w:t>
      </w:r>
      <w:r w:rsidR="009058EE" w:rsidRPr="00994DC2">
        <w:rPr>
          <w:sz w:val="22"/>
          <w:szCs w:val="22"/>
        </w:rPr>
        <w:t xml:space="preserve"> which</w:t>
      </w:r>
      <w:r w:rsidR="0062137F" w:rsidRPr="00994DC2">
        <w:rPr>
          <w:sz w:val="22"/>
          <w:szCs w:val="22"/>
        </w:rPr>
        <w:t xml:space="preserve"> impede</w:t>
      </w:r>
      <w:r w:rsidR="009058EE" w:rsidRPr="00994DC2">
        <w:rPr>
          <w:sz w:val="22"/>
          <w:szCs w:val="22"/>
        </w:rPr>
        <w:t xml:space="preserve">s </w:t>
      </w:r>
      <w:r w:rsidR="0062137F" w:rsidRPr="00994DC2">
        <w:rPr>
          <w:sz w:val="22"/>
          <w:szCs w:val="22"/>
        </w:rPr>
        <w:t xml:space="preserve">econometric analysis </w:t>
      </w:r>
      <w:r w:rsidR="00CF2B0B" w:rsidRPr="00994DC2">
        <w:rPr>
          <w:sz w:val="22"/>
          <w:szCs w:val="22"/>
        </w:rPr>
        <w:t>of</w:t>
      </w:r>
      <w:r w:rsidR="0062137F" w:rsidRPr="00994DC2">
        <w:rPr>
          <w:sz w:val="22"/>
          <w:szCs w:val="22"/>
        </w:rPr>
        <w:t xml:space="preserve"> </w:t>
      </w:r>
      <w:r w:rsidR="00CF2B0B" w:rsidRPr="00994DC2">
        <w:rPr>
          <w:sz w:val="22"/>
          <w:szCs w:val="22"/>
        </w:rPr>
        <w:t>regulatory capital arbitrage</w:t>
      </w:r>
      <w:r w:rsidR="0062137F" w:rsidRPr="00994DC2">
        <w:rPr>
          <w:sz w:val="22"/>
          <w:szCs w:val="22"/>
        </w:rPr>
        <w:t xml:space="preserve">. </w:t>
      </w:r>
      <w:r w:rsidR="00792088" w:rsidRPr="00994DC2">
        <w:rPr>
          <w:sz w:val="22"/>
          <w:szCs w:val="22"/>
        </w:rPr>
        <w:t xml:space="preserve"> I</w:t>
      </w:r>
      <w:r w:rsidR="000E13A9" w:rsidRPr="00994DC2">
        <w:rPr>
          <w:sz w:val="22"/>
          <w:szCs w:val="22"/>
        </w:rPr>
        <w:t xml:space="preserve">f </w:t>
      </w:r>
      <w:r w:rsidR="0062137F" w:rsidRPr="00994DC2">
        <w:rPr>
          <w:sz w:val="22"/>
          <w:szCs w:val="22"/>
        </w:rPr>
        <w:t xml:space="preserve">econometric models </w:t>
      </w:r>
      <w:r w:rsidR="00792088" w:rsidRPr="00994DC2">
        <w:rPr>
          <w:sz w:val="22"/>
          <w:szCs w:val="22"/>
        </w:rPr>
        <w:t xml:space="preserve">are not up to the task of modelling </w:t>
      </w:r>
      <w:r w:rsidR="00C65E02" w:rsidRPr="00994DC2">
        <w:rPr>
          <w:sz w:val="22"/>
          <w:szCs w:val="22"/>
        </w:rPr>
        <w:t xml:space="preserve">regulatory capital arbitrage </w:t>
      </w:r>
      <w:r w:rsidR="00792088" w:rsidRPr="00994DC2">
        <w:rPr>
          <w:sz w:val="22"/>
          <w:szCs w:val="22"/>
        </w:rPr>
        <w:t xml:space="preserve">due to limited data points, </w:t>
      </w:r>
      <w:r w:rsidR="0062137F" w:rsidRPr="00994DC2">
        <w:rPr>
          <w:sz w:val="22"/>
          <w:szCs w:val="22"/>
        </w:rPr>
        <w:t>are there no other tools to test bed regulatory systems?</w:t>
      </w:r>
      <w:r w:rsidR="001E409C">
        <w:rPr>
          <w:sz w:val="22"/>
          <w:szCs w:val="22"/>
        </w:rPr>
        <w:t xml:space="preserve">  </w:t>
      </w:r>
      <w:r w:rsidR="00B16098">
        <w:rPr>
          <w:sz w:val="22"/>
          <w:szCs w:val="22"/>
        </w:rPr>
        <w:t xml:space="preserve">  </w:t>
      </w:r>
      <w:r w:rsidR="00420848">
        <w:rPr>
          <w:sz w:val="22"/>
          <w:szCs w:val="22"/>
        </w:rPr>
        <w:br/>
      </w:r>
      <w:r w:rsidR="007D0C60">
        <w:br/>
      </w:r>
      <w:r w:rsidR="006D2785" w:rsidRPr="004B4FE3">
        <w:rPr>
          <w:sz w:val="22"/>
          <w:szCs w:val="22"/>
        </w:rPr>
        <w:t xml:space="preserve">About the </w:t>
      </w:r>
      <w:r w:rsidR="004C5BB8" w:rsidRPr="004B4FE3">
        <w:rPr>
          <w:sz w:val="22"/>
          <w:szCs w:val="22"/>
        </w:rPr>
        <w:t xml:space="preserve">second phase in </w:t>
      </w:r>
      <w:r w:rsidR="006D2785" w:rsidRPr="004B4FE3">
        <w:rPr>
          <w:sz w:val="22"/>
          <w:szCs w:val="22"/>
        </w:rPr>
        <w:t xml:space="preserve">RMBS </w:t>
      </w:r>
      <w:r w:rsidR="004C5BB8" w:rsidRPr="004B4FE3">
        <w:rPr>
          <w:sz w:val="22"/>
          <w:szCs w:val="22"/>
        </w:rPr>
        <w:t>developments</w:t>
      </w:r>
      <w:r w:rsidR="00583004" w:rsidRPr="004B4FE3">
        <w:rPr>
          <w:sz w:val="22"/>
          <w:szCs w:val="22"/>
        </w:rPr>
        <w:t>, t</w:t>
      </w:r>
      <w:r w:rsidR="00E248A1" w:rsidRPr="004B4FE3">
        <w:rPr>
          <w:sz w:val="22"/>
          <w:szCs w:val="22"/>
        </w:rPr>
        <w:t xml:space="preserve">he question that has often been asked is, in a period which started with the ‘originate and distribute’ model of remote securitization and regulatory focus on Credit Risk Transfer (CRT), </w:t>
      </w:r>
      <w:r w:rsidR="000E6E4E" w:rsidRPr="004B4FE3">
        <w:rPr>
          <w:sz w:val="22"/>
          <w:szCs w:val="22"/>
        </w:rPr>
        <w:t xml:space="preserve">how </w:t>
      </w:r>
      <w:r w:rsidR="00E248A1" w:rsidRPr="004B4FE3">
        <w:rPr>
          <w:sz w:val="22"/>
          <w:szCs w:val="22"/>
        </w:rPr>
        <w:t xml:space="preserve">did so much RMBS assets and their </w:t>
      </w:r>
      <w:r w:rsidR="003F4C8B" w:rsidRPr="004B4FE3">
        <w:rPr>
          <w:sz w:val="22"/>
          <w:szCs w:val="22"/>
        </w:rPr>
        <w:t xml:space="preserve">credit </w:t>
      </w:r>
      <w:r w:rsidR="00E248A1" w:rsidRPr="004B4FE3">
        <w:rPr>
          <w:sz w:val="22"/>
          <w:szCs w:val="22"/>
        </w:rPr>
        <w:t xml:space="preserve">risk accumulate within banks themselves? </w:t>
      </w:r>
      <w:r w:rsidR="00D21D70" w:rsidRPr="004B4FE3">
        <w:rPr>
          <w:sz w:val="22"/>
          <w:szCs w:val="22"/>
        </w:rPr>
        <w:t xml:space="preserve"> Indeed, the extraordinary transfer of $1.5 trillion MBS from balance sheets of US financial intermediaries directly on to that of the Federal Reserve in March 2010 to purge the system of toxic assets marks an </w:t>
      </w:r>
      <w:proofErr w:type="spellStart"/>
      <w:r w:rsidR="00D21D70" w:rsidRPr="004B4FE3">
        <w:rPr>
          <w:sz w:val="22"/>
          <w:szCs w:val="22"/>
        </w:rPr>
        <w:t>on going</w:t>
      </w:r>
      <w:proofErr w:type="spellEnd"/>
      <w:r w:rsidR="00D21D70" w:rsidRPr="004B4FE3">
        <w:rPr>
          <w:sz w:val="22"/>
          <w:szCs w:val="22"/>
        </w:rPr>
        <w:t xml:space="preserve"> </w:t>
      </w:r>
      <w:proofErr w:type="spellStart"/>
      <w:r w:rsidR="00D21D70" w:rsidRPr="004B4FE3">
        <w:rPr>
          <w:sz w:val="22"/>
          <w:szCs w:val="22"/>
        </w:rPr>
        <w:t>fall out</w:t>
      </w:r>
      <w:proofErr w:type="spellEnd"/>
      <w:r w:rsidR="00D21D70" w:rsidRPr="004B4FE3">
        <w:rPr>
          <w:sz w:val="22"/>
          <w:szCs w:val="22"/>
        </w:rPr>
        <w:t xml:space="preserve"> from the crisis.</w:t>
      </w:r>
      <w:r w:rsidR="00D21D70" w:rsidRPr="004B4FE3">
        <w:rPr>
          <w:rStyle w:val="FootnoteReference"/>
          <w:sz w:val="22"/>
          <w:szCs w:val="22"/>
        </w:rPr>
        <w:footnoteReference w:id="4"/>
      </w:r>
      <w:r w:rsidR="00D21D70" w:rsidRPr="004B4FE3">
        <w:rPr>
          <w:sz w:val="22"/>
          <w:szCs w:val="22"/>
        </w:rPr>
        <w:t xml:space="preserve">  </w:t>
      </w:r>
    </w:p>
    <w:p w:rsidR="004D1C61" w:rsidRDefault="004D1C61" w:rsidP="00420848">
      <w:pPr>
        <w:pStyle w:val="NormalWeb"/>
        <w:spacing w:line="360" w:lineRule="auto"/>
        <w:rPr>
          <w:b/>
          <w:bCs/>
        </w:rPr>
      </w:pPr>
    </w:p>
    <w:p w:rsidR="00420848" w:rsidRPr="00420848" w:rsidRDefault="00420848" w:rsidP="00420848">
      <w:pPr>
        <w:pStyle w:val="NormalWeb"/>
        <w:spacing w:line="360" w:lineRule="auto"/>
      </w:pPr>
      <w:r w:rsidRPr="00420848">
        <w:rPr>
          <w:b/>
          <w:bCs/>
        </w:rPr>
        <w:lastRenderedPageBreak/>
        <w:t xml:space="preserve">Figure </w:t>
      </w:r>
      <w:proofErr w:type="gramStart"/>
      <w:r w:rsidRPr="00420848">
        <w:rPr>
          <w:b/>
          <w:bCs/>
        </w:rPr>
        <w:t>1 :</w:t>
      </w:r>
      <w:proofErr w:type="gramEnd"/>
      <w:r w:rsidRPr="00420848">
        <w:rPr>
          <w:b/>
          <w:bCs/>
        </w:rPr>
        <w:t xml:space="preserve"> U.S. Mortgage-Related Securities Outstanding (US</w:t>
      </w:r>
      <w:r w:rsidR="007D0C60">
        <w:rPr>
          <w:b/>
          <w:bCs/>
        </w:rPr>
        <w:t>$</w:t>
      </w:r>
      <w:r w:rsidRPr="00420848">
        <w:rPr>
          <w:b/>
          <w:bCs/>
        </w:rPr>
        <w:t xml:space="preserve"> Billions) 2006-2011 </w:t>
      </w:r>
    </w:p>
    <w:p w:rsidR="00404A45" w:rsidRDefault="008B4037" w:rsidP="00994DC2">
      <w:pPr>
        <w:spacing w:line="360" w:lineRule="auto"/>
        <w:jc w:val="both"/>
        <w:rPr>
          <w:rFonts w:ascii="Times New Roman" w:hAnsi="Times New Roman"/>
        </w:rPr>
      </w:pPr>
      <w:r>
        <w:rPr>
          <w:rFonts w:ascii="Times New Roman" w:hAnsi="Times New Roman"/>
          <w:noProof/>
          <w:lang w:eastAsia="en-GB"/>
        </w:rPr>
        <w:drawing>
          <wp:inline distT="0" distB="0" distL="0" distR="0">
            <wp:extent cx="6427470" cy="2286000"/>
            <wp:effectExtent l="19050" t="0" r="11430" b="0"/>
            <wp:docPr id="1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B37CF3" w:rsidRDefault="00B31E96" w:rsidP="000F64B9">
      <w:pPr>
        <w:tabs>
          <w:tab w:val="left" w:pos="1680"/>
        </w:tabs>
        <w:spacing w:line="360" w:lineRule="auto"/>
        <w:rPr>
          <w:rFonts w:ascii="Times New Roman" w:hAnsi="Times New Roman"/>
        </w:rPr>
      </w:pPr>
      <w:r w:rsidRPr="00420848">
        <w:rPr>
          <w:rFonts w:ascii="Times New Roman" w:hAnsi="Times New Roman"/>
          <w:b/>
          <w:noProof/>
          <w:sz w:val="20"/>
          <w:szCs w:val="20"/>
          <w:lang w:eastAsia="en-GB"/>
        </w:rPr>
        <w:t>Source:</w:t>
      </w:r>
      <w:r w:rsidRPr="00420848">
        <w:rPr>
          <w:rFonts w:ascii="Times New Roman" w:hAnsi="Times New Roman"/>
          <w:noProof/>
          <w:sz w:val="20"/>
          <w:szCs w:val="20"/>
          <w:lang w:eastAsia="en-GB"/>
        </w:rPr>
        <w:t xml:space="preserve"> </w:t>
      </w:r>
      <w:r w:rsidRPr="00F1314E">
        <w:rPr>
          <w:rFonts w:ascii="Times New Roman" w:hAnsi="Times New Roman"/>
          <w:sz w:val="20"/>
          <w:szCs w:val="20"/>
        </w:rPr>
        <w:t>Securities Industry and Financial Markets Association (</w:t>
      </w:r>
      <w:r w:rsidRPr="00F1314E">
        <w:rPr>
          <w:rFonts w:ascii="Times New Roman" w:hAnsi="Times New Roman"/>
          <w:noProof/>
          <w:sz w:val="20"/>
          <w:szCs w:val="20"/>
          <w:lang w:eastAsia="en-GB"/>
        </w:rPr>
        <w:t>SIFMA)</w:t>
      </w:r>
      <w:r w:rsidR="00420848" w:rsidRPr="00420848">
        <w:rPr>
          <w:rFonts w:ascii="Times New Roman" w:hAnsi="Times New Roman"/>
          <w:i/>
          <w:noProof/>
          <w:sz w:val="20"/>
          <w:szCs w:val="20"/>
          <w:lang w:eastAsia="en-GB"/>
        </w:rPr>
        <w:t xml:space="preserve"> </w:t>
      </w:r>
      <w:r w:rsidRPr="00420848">
        <w:rPr>
          <w:rFonts w:ascii="Times New Roman" w:hAnsi="Times New Roman"/>
          <w:noProof/>
          <w:sz w:val="20"/>
          <w:szCs w:val="20"/>
          <w:lang w:eastAsia="en-GB"/>
        </w:rPr>
        <w:t xml:space="preserve">Note: CMO:Collateralized Mortgage Obligations ; Non-Agency MBS includes RMBS and </w:t>
      </w:r>
      <w:r w:rsidR="007065AF" w:rsidRPr="00420848">
        <w:rPr>
          <w:rFonts w:ascii="Times New Roman" w:hAnsi="Times New Roman"/>
          <w:noProof/>
          <w:sz w:val="20"/>
          <w:szCs w:val="20"/>
          <w:lang w:eastAsia="en-GB"/>
        </w:rPr>
        <w:t>CMBS</w:t>
      </w:r>
      <w:r w:rsidRPr="00420848">
        <w:rPr>
          <w:rFonts w:ascii="Times New Roman" w:hAnsi="Times New Roman"/>
          <w:noProof/>
          <w:sz w:val="20"/>
          <w:szCs w:val="20"/>
          <w:lang w:eastAsia="en-GB"/>
        </w:rPr>
        <w:br/>
      </w:r>
      <w:r w:rsidR="00404A45">
        <w:rPr>
          <w:rFonts w:ascii="Times New Roman" w:eastAsia="Times New Roman" w:hAnsi="Times New Roman"/>
          <w:lang w:eastAsia="en-GB"/>
        </w:rPr>
        <w:br/>
      </w:r>
      <w:proofErr w:type="spellStart"/>
      <w:r w:rsidR="00234C14" w:rsidRPr="00994DC2">
        <w:rPr>
          <w:rFonts w:ascii="Times New Roman" w:eastAsia="Times New Roman" w:hAnsi="Times New Roman"/>
          <w:lang w:eastAsia="en-GB"/>
        </w:rPr>
        <w:t>Acharya</w:t>
      </w:r>
      <w:proofErr w:type="spellEnd"/>
      <w:r w:rsidR="00234C14" w:rsidRPr="00994DC2">
        <w:rPr>
          <w:rFonts w:ascii="Times New Roman" w:eastAsia="Times New Roman" w:hAnsi="Times New Roman"/>
          <w:lang w:eastAsia="en-GB"/>
        </w:rPr>
        <w:t xml:space="preserve"> </w:t>
      </w:r>
      <w:r w:rsidR="00B85254">
        <w:rPr>
          <w:rFonts w:ascii="Times New Roman" w:eastAsia="Times New Roman" w:hAnsi="Times New Roman"/>
          <w:lang w:eastAsia="en-GB"/>
        </w:rPr>
        <w:t xml:space="preserve">and </w:t>
      </w:r>
      <w:r w:rsidR="00B85254" w:rsidRPr="00994DC2">
        <w:rPr>
          <w:rFonts w:ascii="Times New Roman" w:eastAsia="Times New Roman" w:hAnsi="Times New Roman"/>
          <w:lang w:eastAsia="en-GB"/>
        </w:rPr>
        <w:t xml:space="preserve">Richardson </w:t>
      </w:r>
      <w:r w:rsidR="00234C14" w:rsidRPr="00994DC2">
        <w:rPr>
          <w:rFonts w:ascii="Times New Roman" w:eastAsia="Times New Roman" w:hAnsi="Times New Roman"/>
          <w:lang w:eastAsia="en-GB"/>
        </w:rPr>
        <w:t xml:space="preserve">(2010) state that </w:t>
      </w:r>
      <w:r w:rsidR="00585039" w:rsidRPr="00994DC2">
        <w:rPr>
          <w:rFonts w:ascii="Times New Roman" w:eastAsia="Times New Roman" w:hAnsi="Times New Roman"/>
          <w:lang w:eastAsia="en-GB"/>
        </w:rPr>
        <w:t>“what</w:t>
      </w:r>
      <w:r w:rsidR="00234C14" w:rsidRPr="00994DC2">
        <w:rPr>
          <w:rFonts w:ascii="Times New Roman" w:eastAsia="Times New Roman" w:hAnsi="Times New Roman"/>
          <w:lang w:eastAsia="en-GB"/>
        </w:rPr>
        <w:t xml:space="preserve"> made the current crisis so much worse than the crash of 2000 was the behavio</w:t>
      </w:r>
      <w:r w:rsidR="003F4C8B" w:rsidRPr="00994DC2">
        <w:rPr>
          <w:rFonts w:ascii="Times New Roman" w:eastAsia="Times New Roman" w:hAnsi="Times New Roman"/>
          <w:lang w:eastAsia="en-GB"/>
        </w:rPr>
        <w:t>u</w:t>
      </w:r>
      <w:r w:rsidR="00234C14" w:rsidRPr="00994DC2">
        <w:rPr>
          <w:rFonts w:ascii="Times New Roman" w:eastAsia="Times New Roman" w:hAnsi="Times New Roman"/>
          <w:lang w:eastAsia="en-GB"/>
        </w:rPr>
        <w:t>r of many of the large, complex financial institutions (LCFIs</w:t>
      </w:r>
      <w:proofErr w:type="gramStart"/>
      <w:r w:rsidR="00234C14" w:rsidRPr="00994DC2">
        <w:rPr>
          <w:rFonts w:ascii="Times New Roman" w:eastAsia="Times New Roman" w:hAnsi="Times New Roman"/>
          <w:lang w:eastAsia="en-GB"/>
        </w:rPr>
        <w:t xml:space="preserve">) </w:t>
      </w:r>
      <w:r w:rsidR="00420848">
        <w:rPr>
          <w:rFonts w:ascii="Times New Roman" w:eastAsia="Times New Roman" w:hAnsi="Times New Roman"/>
          <w:lang w:eastAsia="en-GB"/>
        </w:rPr>
        <w:t>.</w:t>
      </w:r>
      <w:proofErr w:type="gramEnd"/>
      <w:r w:rsidR="00420848">
        <w:rPr>
          <w:rFonts w:ascii="Times New Roman" w:eastAsia="Times New Roman" w:hAnsi="Times New Roman"/>
          <w:lang w:eastAsia="en-GB"/>
        </w:rPr>
        <w:t xml:space="preserve"> </w:t>
      </w:r>
      <w:r w:rsidR="00216485">
        <w:rPr>
          <w:rFonts w:ascii="Times New Roman" w:eastAsia="Times New Roman" w:hAnsi="Times New Roman"/>
          <w:lang w:eastAsia="en-GB"/>
        </w:rPr>
        <w:t>..</w:t>
      </w:r>
      <w:r w:rsidR="00234C14" w:rsidRPr="00994DC2">
        <w:rPr>
          <w:rFonts w:ascii="Times New Roman" w:eastAsia="Times New Roman" w:hAnsi="Times New Roman"/>
          <w:lang w:eastAsia="en-GB"/>
        </w:rPr>
        <w:t xml:space="preserve"> These LCFIs ignored their own business model of securitization and chose </w:t>
      </w:r>
      <w:r w:rsidR="00234C14" w:rsidRPr="00994DC2">
        <w:rPr>
          <w:rFonts w:ascii="Times New Roman" w:eastAsia="Times New Roman" w:hAnsi="Times New Roman"/>
          <w:i/>
          <w:iCs/>
          <w:lang w:eastAsia="en-GB"/>
        </w:rPr>
        <w:t xml:space="preserve">not </w:t>
      </w:r>
      <w:r w:rsidR="00234C14" w:rsidRPr="00994DC2">
        <w:rPr>
          <w:rFonts w:ascii="Times New Roman" w:eastAsia="Times New Roman" w:hAnsi="Times New Roman"/>
          <w:lang w:eastAsia="en-GB"/>
        </w:rPr>
        <w:t>to transfer the credit risk to other investors</w:t>
      </w:r>
      <w:r w:rsidR="00234C14" w:rsidRPr="00994DC2">
        <w:rPr>
          <w:rFonts w:ascii="Times New Roman" w:eastAsia="Times New Roman" w:hAnsi="Times New Roman"/>
          <w:iCs/>
          <w:lang w:eastAsia="en-GB"/>
        </w:rPr>
        <w:t>”</w:t>
      </w:r>
      <w:r w:rsidR="003C4EB4">
        <w:rPr>
          <w:rFonts w:ascii="Times New Roman" w:eastAsia="Times New Roman" w:hAnsi="Times New Roman"/>
          <w:iCs/>
          <w:lang w:eastAsia="en-GB"/>
        </w:rPr>
        <w:t xml:space="preserve"> </w:t>
      </w:r>
      <w:r w:rsidR="004D1C61">
        <w:rPr>
          <w:rFonts w:ascii="Times New Roman" w:eastAsia="Times New Roman" w:hAnsi="Times New Roman"/>
          <w:iCs/>
          <w:lang w:eastAsia="en-GB"/>
        </w:rPr>
        <w:t>(italics added).</w:t>
      </w:r>
      <w:r w:rsidR="00AF257C" w:rsidRPr="00994DC2">
        <w:rPr>
          <w:rFonts w:ascii="Times New Roman" w:eastAsia="Times New Roman" w:hAnsi="Times New Roman"/>
          <w:iCs/>
          <w:lang w:eastAsia="en-GB"/>
        </w:rPr>
        <w:t xml:space="preserve"> </w:t>
      </w:r>
      <w:r w:rsidR="00234C14" w:rsidRPr="00994DC2">
        <w:rPr>
          <w:rFonts w:ascii="Times New Roman" w:eastAsia="Times New Roman" w:hAnsi="Times New Roman"/>
          <w:iCs/>
          <w:lang w:eastAsia="en-GB"/>
        </w:rPr>
        <w:t xml:space="preserve">While </w:t>
      </w:r>
      <w:proofErr w:type="spellStart"/>
      <w:r w:rsidR="00234C14" w:rsidRPr="00994DC2">
        <w:rPr>
          <w:rFonts w:ascii="Times New Roman" w:eastAsia="Times New Roman" w:hAnsi="Times New Roman"/>
          <w:iCs/>
          <w:lang w:eastAsia="en-GB"/>
        </w:rPr>
        <w:t>Acharya</w:t>
      </w:r>
      <w:proofErr w:type="spellEnd"/>
      <w:r w:rsidR="007B0BEF">
        <w:rPr>
          <w:rFonts w:ascii="Times New Roman" w:eastAsia="Times New Roman" w:hAnsi="Times New Roman"/>
          <w:iCs/>
          <w:lang w:eastAsia="en-GB"/>
        </w:rPr>
        <w:t xml:space="preserve"> and </w:t>
      </w:r>
      <w:r w:rsidR="007B0BEF" w:rsidRPr="00994DC2">
        <w:rPr>
          <w:rFonts w:ascii="Times New Roman" w:eastAsia="Times New Roman" w:hAnsi="Times New Roman"/>
          <w:iCs/>
          <w:lang w:eastAsia="en-GB"/>
        </w:rPr>
        <w:t xml:space="preserve">Richardson </w:t>
      </w:r>
      <w:r w:rsidR="00234C14" w:rsidRPr="00994DC2">
        <w:rPr>
          <w:rFonts w:ascii="Times New Roman" w:eastAsia="Times New Roman" w:hAnsi="Times New Roman"/>
          <w:iCs/>
          <w:lang w:eastAsia="en-GB"/>
        </w:rPr>
        <w:t>(2010) appear to acknowledge that LCFIs by retaining RMBS securities on their balance sheets along with CDS</w:t>
      </w:r>
      <w:r w:rsidR="00E526D8">
        <w:rPr>
          <w:rStyle w:val="FootnoteReference"/>
          <w:rFonts w:ascii="Times New Roman" w:eastAsia="Times New Roman" w:hAnsi="Times New Roman"/>
          <w:iCs/>
          <w:lang w:eastAsia="en-GB"/>
        </w:rPr>
        <w:footnoteReference w:id="5"/>
      </w:r>
      <w:r w:rsidR="00234C14" w:rsidRPr="00994DC2">
        <w:rPr>
          <w:rFonts w:ascii="Times New Roman" w:eastAsia="Times New Roman" w:hAnsi="Times New Roman"/>
          <w:iCs/>
          <w:lang w:eastAsia="en-GB"/>
        </w:rPr>
        <w:t xml:space="preserve"> guarantees allowed banks to save capital, they neither attribute this to the regulatory incentives in place nor show how profitable this was for banks in the short run, a matter which is the key to any myopic business model.  </w:t>
      </w:r>
      <w:proofErr w:type="spellStart"/>
      <w:r w:rsidR="00234C14" w:rsidRPr="00994DC2">
        <w:rPr>
          <w:rFonts w:ascii="Times New Roman" w:eastAsia="Times New Roman" w:hAnsi="Times New Roman"/>
          <w:iCs/>
          <w:lang w:eastAsia="en-GB"/>
        </w:rPr>
        <w:t>Stultz</w:t>
      </w:r>
      <w:proofErr w:type="spellEnd"/>
      <w:r w:rsidR="00234C14" w:rsidRPr="00994DC2">
        <w:rPr>
          <w:rFonts w:ascii="Times New Roman" w:eastAsia="Times New Roman" w:hAnsi="Times New Roman"/>
          <w:iCs/>
          <w:lang w:eastAsia="en-GB"/>
        </w:rPr>
        <w:t xml:space="preserve"> (</w:t>
      </w:r>
      <w:r w:rsidR="00216485">
        <w:rPr>
          <w:rFonts w:ascii="Times New Roman" w:eastAsia="Times New Roman" w:hAnsi="Times New Roman"/>
          <w:iCs/>
          <w:lang w:eastAsia="en-GB"/>
        </w:rPr>
        <w:t>2010</w:t>
      </w:r>
      <w:r w:rsidR="00234C14" w:rsidRPr="00994DC2">
        <w:rPr>
          <w:rFonts w:ascii="Times New Roman" w:eastAsia="Times New Roman" w:hAnsi="Times New Roman"/>
          <w:iCs/>
          <w:lang w:eastAsia="en-GB"/>
        </w:rPr>
        <w:t xml:space="preserve">  p. 80) admits to the regulatory incentives in place</w:t>
      </w:r>
      <w:r w:rsidR="00CA2308" w:rsidRPr="00994DC2">
        <w:rPr>
          <w:rFonts w:ascii="Times New Roman" w:eastAsia="Times New Roman" w:hAnsi="Times New Roman"/>
          <w:iCs/>
          <w:lang w:eastAsia="en-GB"/>
        </w:rPr>
        <w:t xml:space="preserve"> with the onset of the ratings based risk weighted and </w:t>
      </w:r>
      <w:r w:rsidR="00D21D70" w:rsidRPr="00994DC2">
        <w:rPr>
          <w:rFonts w:ascii="Times New Roman" w:eastAsia="Times New Roman" w:hAnsi="Times New Roman"/>
          <w:iCs/>
          <w:lang w:eastAsia="en-GB"/>
        </w:rPr>
        <w:t>CRT</w:t>
      </w:r>
      <w:r w:rsidR="00CA2308" w:rsidRPr="00994DC2">
        <w:rPr>
          <w:rFonts w:ascii="Times New Roman" w:eastAsia="Times New Roman" w:hAnsi="Times New Roman"/>
          <w:iCs/>
          <w:lang w:eastAsia="en-GB"/>
        </w:rPr>
        <w:t xml:space="preserve"> orientation of Basel </w:t>
      </w:r>
      <w:r w:rsidR="00F1664B" w:rsidRPr="00994DC2">
        <w:rPr>
          <w:rFonts w:ascii="Times New Roman" w:eastAsia="Times New Roman" w:hAnsi="Times New Roman"/>
          <w:iCs/>
          <w:lang w:eastAsia="en-GB"/>
        </w:rPr>
        <w:t>II</w:t>
      </w:r>
      <w:r w:rsidR="007266ED" w:rsidRPr="00994DC2">
        <w:rPr>
          <w:rFonts w:ascii="Times New Roman" w:eastAsia="Times New Roman" w:hAnsi="Times New Roman"/>
          <w:iCs/>
          <w:lang w:eastAsia="en-GB"/>
        </w:rPr>
        <w:t xml:space="preserve"> which marked the development of synthetic securitization. </w:t>
      </w:r>
      <w:r w:rsidR="00674E66" w:rsidRPr="00994DC2">
        <w:rPr>
          <w:rFonts w:ascii="Times New Roman" w:eastAsia="Times New Roman" w:hAnsi="Times New Roman"/>
          <w:iCs/>
          <w:lang w:eastAsia="en-GB"/>
        </w:rPr>
        <w:t xml:space="preserve"> By and large, there seems to have been </w:t>
      </w:r>
      <w:r w:rsidR="00674E66" w:rsidRPr="00994DC2">
        <w:rPr>
          <w:rFonts w:ascii="Times New Roman" w:hAnsi="Times New Roman"/>
        </w:rPr>
        <w:t>a fundamental misunderstanding among a number of economists about the advanced state of the adoption of reduced capital requirements</w:t>
      </w:r>
      <w:r w:rsidR="003F4C8B" w:rsidRPr="00994DC2">
        <w:rPr>
          <w:rFonts w:ascii="Times New Roman" w:hAnsi="Times New Roman"/>
        </w:rPr>
        <w:t xml:space="preserve"> </w:t>
      </w:r>
      <w:r w:rsidR="00216485">
        <w:rPr>
          <w:rFonts w:ascii="Times New Roman" w:hAnsi="Times New Roman"/>
        </w:rPr>
        <w:t>for</w:t>
      </w:r>
      <w:r w:rsidR="003F4C8B" w:rsidRPr="00994DC2">
        <w:rPr>
          <w:rFonts w:ascii="Times New Roman" w:hAnsi="Times New Roman"/>
        </w:rPr>
        <w:t xml:space="preserve"> </w:t>
      </w:r>
      <w:r w:rsidR="00585039" w:rsidRPr="00994DC2">
        <w:rPr>
          <w:rFonts w:ascii="Times New Roman" w:hAnsi="Times New Roman"/>
        </w:rPr>
        <w:t>ret</w:t>
      </w:r>
      <w:r w:rsidR="00585039">
        <w:rPr>
          <w:rFonts w:ascii="Times New Roman" w:hAnsi="Times New Roman"/>
        </w:rPr>
        <w:t xml:space="preserve">ained </w:t>
      </w:r>
      <w:r w:rsidR="00585039" w:rsidRPr="00994DC2">
        <w:rPr>
          <w:rFonts w:ascii="Times New Roman" w:hAnsi="Times New Roman"/>
        </w:rPr>
        <w:t>RMBS</w:t>
      </w:r>
      <w:r w:rsidR="003F4C8B" w:rsidRPr="00994DC2">
        <w:rPr>
          <w:rFonts w:ascii="Times New Roman" w:hAnsi="Times New Roman"/>
        </w:rPr>
        <w:t xml:space="preserve"> on bank balance sheets </w:t>
      </w:r>
      <w:r w:rsidR="00F1664B" w:rsidRPr="00994DC2">
        <w:rPr>
          <w:rFonts w:ascii="Times New Roman" w:hAnsi="Times New Roman"/>
        </w:rPr>
        <w:t>with</w:t>
      </w:r>
      <w:r w:rsidR="00674E66" w:rsidRPr="00994DC2">
        <w:rPr>
          <w:rFonts w:ascii="Times New Roman" w:hAnsi="Times New Roman"/>
        </w:rPr>
        <w:t xml:space="preserve"> </w:t>
      </w:r>
      <w:r w:rsidR="00F1664B" w:rsidRPr="00994DC2">
        <w:rPr>
          <w:rFonts w:ascii="Times New Roman" w:hAnsi="Times New Roman"/>
        </w:rPr>
        <w:t>synthetic securitization and CRT</w:t>
      </w:r>
      <w:r w:rsidR="00674E66" w:rsidRPr="00994DC2">
        <w:rPr>
          <w:rFonts w:ascii="Times New Roman" w:hAnsi="Times New Roman"/>
        </w:rPr>
        <w:t xml:space="preserve"> in US banks</w:t>
      </w:r>
      <w:r w:rsidR="00AC64D0" w:rsidRPr="00994DC2">
        <w:rPr>
          <w:rFonts w:ascii="Times New Roman" w:hAnsi="Times New Roman"/>
        </w:rPr>
        <w:t xml:space="preserve"> </w:t>
      </w:r>
      <w:r w:rsidR="003F4C8B" w:rsidRPr="00994DC2">
        <w:rPr>
          <w:rFonts w:ascii="Times New Roman" w:hAnsi="Times New Roman"/>
        </w:rPr>
        <w:t>following from</w:t>
      </w:r>
      <w:r w:rsidR="00F1664B" w:rsidRPr="00994DC2">
        <w:rPr>
          <w:rFonts w:ascii="Times New Roman" w:hAnsi="Times New Roman"/>
        </w:rPr>
        <w:t xml:space="preserve"> the </w:t>
      </w:r>
      <w:r w:rsidR="00663124" w:rsidRPr="00994DC2">
        <w:rPr>
          <w:rFonts w:ascii="Times New Roman" w:hAnsi="Times New Roman"/>
        </w:rPr>
        <w:t xml:space="preserve">Joint Agencies Rule 66 Fed. </w:t>
      </w:r>
      <w:proofErr w:type="gramStart"/>
      <w:r w:rsidR="00663124" w:rsidRPr="00994DC2">
        <w:rPr>
          <w:rFonts w:ascii="Times New Roman" w:hAnsi="Times New Roman"/>
        </w:rPr>
        <w:t>Reg. 56914 and 59622 which became effective on January 1, 2002.</w:t>
      </w:r>
      <w:proofErr w:type="gramEnd"/>
      <w:r w:rsidR="00663124" w:rsidRPr="00994DC2">
        <w:rPr>
          <w:rFonts w:ascii="Times New Roman" w:hAnsi="Times New Roman"/>
        </w:rPr>
        <w:t xml:space="preserve"> </w:t>
      </w:r>
      <w:r w:rsidR="00AC64D0" w:rsidRPr="00994DC2">
        <w:rPr>
          <w:rStyle w:val="FootnoteReference"/>
          <w:rFonts w:ascii="Times New Roman" w:eastAsia="Times New Roman" w:hAnsi="Times New Roman"/>
          <w:iCs/>
          <w:lang w:eastAsia="en-GB"/>
        </w:rPr>
        <w:footnoteReference w:id="6"/>
      </w:r>
      <w:r w:rsidR="00216485">
        <w:rPr>
          <w:rFonts w:ascii="Times New Roman" w:hAnsi="Times New Roman"/>
        </w:rPr>
        <w:br/>
      </w:r>
      <w:r w:rsidR="00C26C27" w:rsidRPr="00994DC2">
        <w:rPr>
          <w:rFonts w:ascii="Times New Roman" w:hAnsi="Times New Roman"/>
        </w:rPr>
        <w:t xml:space="preserve">  </w:t>
      </w:r>
      <w:r w:rsidR="00B16098">
        <w:rPr>
          <w:rFonts w:ascii="Times New Roman" w:hAnsi="Times New Roman"/>
        </w:rPr>
        <w:br/>
      </w:r>
      <w:r w:rsidR="00513B1E">
        <w:rPr>
          <w:rFonts w:ascii="Times New Roman" w:hAnsi="Times New Roman"/>
          <w:color w:val="000000"/>
          <w:lang w:eastAsia="en-GB"/>
        </w:rPr>
        <w:t>Blundell-</w:t>
      </w:r>
      <w:proofErr w:type="spellStart"/>
      <w:r w:rsidR="00513B1E">
        <w:rPr>
          <w:rFonts w:ascii="Times New Roman" w:hAnsi="Times New Roman"/>
          <w:color w:val="000000"/>
          <w:lang w:eastAsia="en-GB"/>
        </w:rPr>
        <w:t>Wignall</w:t>
      </w:r>
      <w:proofErr w:type="spellEnd"/>
      <w:r w:rsidR="00513B1E">
        <w:rPr>
          <w:rFonts w:ascii="Times New Roman" w:hAnsi="Times New Roman"/>
          <w:color w:val="000000"/>
          <w:lang w:eastAsia="en-GB"/>
        </w:rPr>
        <w:t xml:space="preserve"> and Atkinson (2008) quite rightly </w:t>
      </w:r>
      <w:r w:rsidR="00585039">
        <w:rPr>
          <w:rFonts w:ascii="Times New Roman" w:hAnsi="Times New Roman"/>
          <w:color w:val="000000"/>
          <w:lang w:eastAsia="en-GB"/>
        </w:rPr>
        <w:t>state:</w:t>
      </w:r>
      <w:r w:rsidR="00882906">
        <w:rPr>
          <w:rFonts w:ascii="Times New Roman" w:hAnsi="Times New Roman"/>
          <w:color w:val="000000"/>
          <w:lang w:eastAsia="en-GB"/>
        </w:rPr>
        <w:t xml:space="preserve"> “</w:t>
      </w:r>
      <w:r w:rsidR="00513B1E">
        <w:rPr>
          <w:rFonts w:ascii="Times New Roman" w:hAnsi="Times New Roman"/>
          <w:color w:val="000000"/>
          <w:lang w:eastAsia="en-GB"/>
        </w:rPr>
        <w:t xml:space="preserve">understanding causality is a precondition </w:t>
      </w:r>
      <w:r w:rsidR="00513B1E">
        <w:rPr>
          <w:rFonts w:ascii="Times New Roman" w:hAnsi="Times New Roman"/>
          <w:color w:val="000000"/>
          <w:lang w:eastAsia="en-GB"/>
        </w:rPr>
        <w:lastRenderedPageBreak/>
        <w:t>for correct policy making”</w:t>
      </w:r>
      <w:r w:rsidR="007B0BEF">
        <w:rPr>
          <w:rFonts w:ascii="Times New Roman" w:hAnsi="Times New Roman"/>
          <w:color w:val="000000"/>
          <w:lang w:eastAsia="en-GB"/>
        </w:rPr>
        <w:t xml:space="preserve"> in their </w:t>
      </w:r>
      <w:r w:rsidR="007B0BEF" w:rsidRPr="00994DC2">
        <w:rPr>
          <w:rFonts w:ascii="Times New Roman" w:hAnsi="Times New Roman"/>
          <w:color w:val="000000"/>
          <w:lang w:eastAsia="en-GB"/>
        </w:rPr>
        <w:t>attempt to assess the impact of the Basel II</w:t>
      </w:r>
      <w:r w:rsidR="007B0BEF">
        <w:rPr>
          <w:rFonts w:ascii="Times New Roman" w:hAnsi="Times New Roman"/>
          <w:color w:val="000000"/>
          <w:lang w:eastAsia="en-GB"/>
        </w:rPr>
        <w:t xml:space="preserve"> </w:t>
      </w:r>
      <w:r w:rsidR="007B0BEF" w:rsidRPr="00994DC2">
        <w:rPr>
          <w:rFonts w:ascii="Times New Roman" w:hAnsi="Times New Roman"/>
          <w:color w:val="000000"/>
          <w:lang w:eastAsia="en-GB"/>
        </w:rPr>
        <w:t>incentives</w:t>
      </w:r>
      <w:r w:rsidR="007B0BEF">
        <w:rPr>
          <w:rFonts w:ascii="Times New Roman" w:hAnsi="Times New Roman"/>
          <w:color w:val="000000"/>
          <w:lang w:eastAsia="en-GB"/>
        </w:rPr>
        <w:t xml:space="preserve"> for capital reduction </w:t>
      </w:r>
      <w:r w:rsidR="00882906">
        <w:rPr>
          <w:rFonts w:ascii="Times New Roman" w:hAnsi="Times New Roman"/>
          <w:color w:val="000000"/>
          <w:lang w:eastAsia="en-GB"/>
        </w:rPr>
        <w:t>by</w:t>
      </w:r>
      <w:r w:rsidR="007B0BEF" w:rsidRPr="00994DC2">
        <w:rPr>
          <w:rFonts w:ascii="Times New Roman" w:hAnsi="Times New Roman"/>
          <w:color w:val="000000"/>
          <w:lang w:eastAsia="en-GB"/>
        </w:rPr>
        <w:t xml:space="preserve"> </w:t>
      </w:r>
      <w:r w:rsidR="007B0BEF">
        <w:rPr>
          <w:rFonts w:ascii="Times New Roman" w:hAnsi="Times New Roman"/>
          <w:color w:val="000000"/>
          <w:lang w:eastAsia="en-GB"/>
        </w:rPr>
        <w:t>bank</w:t>
      </w:r>
      <w:r w:rsidR="00882906">
        <w:rPr>
          <w:rFonts w:ascii="Times New Roman" w:hAnsi="Times New Roman"/>
          <w:color w:val="000000"/>
          <w:lang w:eastAsia="en-GB"/>
        </w:rPr>
        <w:t>s</w:t>
      </w:r>
      <w:r w:rsidR="007B0BEF">
        <w:rPr>
          <w:rFonts w:ascii="Times New Roman" w:hAnsi="Times New Roman"/>
          <w:color w:val="000000"/>
          <w:lang w:eastAsia="en-GB"/>
        </w:rPr>
        <w:t xml:space="preserve"> </w:t>
      </w:r>
      <w:r w:rsidR="007B0BEF" w:rsidRPr="00994DC2">
        <w:rPr>
          <w:rFonts w:ascii="Times New Roman" w:hAnsi="Times New Roman"/>
          <w:color w:val="000000"/>
          <w:lang w:eastAsia="en-GB"/>
        </w:rPr>
        <w:t xml:space="preserve">and the CDS negative basis carry trade for the critical build up in 2006-7 of RMBS and CDS on US banks’ balance and off balance sheets that </w:t>
      </w:r>
      <w:r w:rsidR="00661A01">
        <w:rPr>
          <w:rFonts w:ascii="Times New Roman" w:hAnsi="Times New Roman"/>
          <w:color w:val="000000"/>
          <w:lang w:eastAsia="en-GB"/>
        </w:rPr>
        <w:t>brought</w:t>
      </w:r>
      <w:r w:rsidR="007B0BEF" w:rsidRPr="00994DC2">
        <w:rPr>
          <w:rFonts w:ascii="Times New Roman" w:hAnsi="Times New Roman"/>
          <w:color w:val="000000"/>
          <w:lang w:eastAsia="en-GB"/>
        </w:rPr>
        <w:t xml:space="preserve"> the US financial system to the brink of collapse. </w:t>
      </w:r>
      <w:r w:rsidR="004B4FE3">
        <w:rPr>
          <w:rFonts w:ascii="Times New Roman" w:hAnsi="Times New Roman"/>
          <w:color w:val="000000"/>
          <w:lang w:eastAsia="en-GB"/>
        </w:rPr>
        <w:t xml:space="preserve"> </w:t>
      </w:r>
      <w:r w:rsidR="007B0BEF">
        <w:rPr>
          <w:rFonts w:ascii="Times New Roman" w:hAnsi="Times New Roman"/>
          <w:color w:val="000000"/>
          <w:lang w:eastAsia="en-GB"/>
        </w:rPr>
        <w:t xml:space="preserve">While they bring a wealth of </w:t>
      </w:r>
      <w:r w:rsidR="00513B1E">
        <w:rPr>
          <w:rFonts w:ascii="Times New Roman" w:hAnsi="Times New Roman"/>
          <w:color w:val="000000"/>
          <w:lang w:eastAsia="en-GB"/>
        </w:rPr>
        <w:t xml:space="preserve">evidence </w:t>
      </w:r>
      <w:r w:rsidR="00404A45">
        <w:rPr>
          <w:rFonts w:ascii="Times New Roman" w:hAnsi="Times New Roman"/>
          <w:color w:val="000000"/>
          <w:lang w:eastAsia="en-GB"/>
        </w:rPr>
        <w:t>o</w:t>
      </w:r>
      <w:r w:rsidR="008A2646">
        <w:rPr>
          <w:rFonts w:ascii="Times New Roman" w:hAnsi="Times New Roman"/>
          <w:color w:val="000000"/>
          <w:lang w:eastAsia="en-GB"/>
        </w:rPr>
        <w:t>n</w:t>
      </w:r>
      <w:r w:rsidR="00404A45">
        <w:rPr>
          <w:rFonts w:ascii="Times New Roman" w:hAnsi="Times New Roman"/>
          <w:color w:val="000000"/>
          <w:lang w:eastAsia="en-GB"/>
        </w:rPr>
        <w:t xml:space="preserve"> regulatory incentives </w:t>
      </w:r>
      <w:r w:rsidR="00513B1E">
        <w:rPr>
          <w:rFonts w:ascii="Times New Roman" w:hAnsi="Times New Roman"/>
          <w:color w:val="000000"/>
          <w:lang w:eastAsia="en-GB"/>
        </w:rPr>
        <w:t xml:space="preserve">for the acceleration </w:t>
      </w:r>
      <w:r w:rsidR="005613E7">
        <w:rPr>
          <w:rFonts w:ascii="Times New Roman" w:hAnsi="Times New Roman"/>
          <w:color w:val="000000"/>
          <w:lang w:eastAsia="en-GB"/>
        </w:rPr>
        <w:t>of RMBS assets on banks’ balance sheets</w:t>
      </w:r>
      <w:r w:rsidR="007B0BEF">
        <w:rPr>
          <w:rFonts w:ascii="Times New Roman" w:hAnsi="Times New Roman"/>
          <w:color w:val="000000"/>
          <w:lang w:eastAsia="en-GB"/>
        </w:rPr>
        <w:t>, they do not attempt to develop a methodological framework to study causality</w:t>
      </w:r>
      <w:r w:rsidR="005613E7">
        <w:rPr>
          <w:rFonts w:ascii="Times New Roman" w:hAnsi="Times New Roman"/>
          <w:color w:val="000000"/>
          <w:lang w:eastAsia="en-GB"/>
        </w:rPr>
        <w:t xml:space="preserve">. </w:t>
      </w:r>
      <w:r w:rsidR="00404A45">
        <w:rPr>
          <w:rFonts w:ascii="Times New Roman" w:hAnsi="Times New Roman"/>
          <w:color w:val="000000"/>
          <w:lang w:eastAsia="en-GB"/>
        </w:rPr>
        <w:t xml:space="preserve"> </w:t>
      </w:r>
      <w:r w:rsidR="001D6490" w:rsidRPr="00994DC2">
        <w:rPr>
          <w:rFonts w:ascii="Times New Roman" w:hAnsi="Times New Roman"/>
          <w:color w:val="000000"/>
          <w:lang w:eastAsia="en-GB"/>
        </w:rPr>
        <w:t>E</w:t>
      </w:r>
      <w:r w:rsidR="009058EE" w:rsidRPr="00994DC2">
        <w:rPr>
          <w:rFonts w:ascii="Times New Roman" w:hAnsi="Times New Roman"/>
        </w:rPr>
        <w:t>x</w:t>
      </w:r>
      <w:r w:rsidR="00850BFE" w:rsidRPr="00994DC2">
        <w:rPr>
          <w:rFonts w:ascii="Times New Roman" w:hAnsi="Times New Roman"/>
        </w:rPr>
        <w:t xml:space="preserve">tant </w:t>
      </w:r>
      <w:r w:rsidR="009058EE" w:rsidRPr="00994DC2">
        <w:rPr>
          <w:rFonts w:ascii="Times New Roman" w:hAnsi="Times New Roman"/>
        </w:rPr>
        <w:t>statistical</w:t>
      </w:r>
      <w:r w:rsidR="001D6490" w:rsidRPr="00994DC2">
        <w:rPr>
          <w:rFonts w:ascii="Times New Roman" w:hAnsi="Times New Roman"/>
        </w:rPr>
        <w:t xml:space="preserve"> and econometric</w:t>
      </w:r>
      <w:r w:rsidR="009058EE" w:rsidRPr="00994DC2">
        <w:rPr>
          <w:rFonts w:ascii="Times New Roman" w:hAnsi="Times New Roman"/>
        </w:rPr>
        <w:t xml:space="preserve"> models fail to identify the threats to stability from such incentives </w:t>
      </w:r>
      <w:r w:rsidR="00226AA7">
        <w:rPr>
          <w:rFonts w:ascii="Times New Roman" w:hAnsi="Times New Roman"/>
        </w:rPr>
        <w:t>for</w:t>
      </w:r>
      <w:r w:rsidR="007B0BEF">
        <w:rPr>
          <w:rFonts w:ascii="Times New Roman" w:hAnsi="Times New Roman"/>
        </w:rPr>
        <w:t xml:space="preserve"> capital arbitrage </w:t>
      </w:r>
      <w:r w:rsidR="009058EE" w:rsidRPr="00994DC2">
        <w:rPr>
          <w:rFonts w:ascii="Times New Roman" w:hAnsi="Times New Roman"/>
        </w:rPr>
        <w:t xml:space="preserve">among financial firms </w:t>
      </w:r>
      <w:r w:rsidR="00AF257C" w:rsidRPr="00994DC2">
        <w:rPr>
          <w:rFonts w:ascii="Times New Roman" w:hAnsi="Times New Roman"/>
        </w:rPr>
        <w:t xml:space="preserve">that lead to </w:t>
      </w:r>
      <w:r w:rsidR="009058EE" w:rsidRPr="00994DC2">
        <w:rPr>
          <w:rFonts w:ascii="Times New Roman" w:hAnsi="Times New Roman"/>
        </w:rPr>
        <w:t xml:space="preserve">topological fragility of the CDS </w:t>
      </w:r>
      <w:r w:rsidR="00670AA0" w:rsidRPr="00994DC2">
        <w:rPr>
          <w:rFonts w:ascii="Times New Roman" w:hAnsi="Times New Roman"/>
        </w:rPr>
        <w:t xml:space="preserve">based </w:t>
      </w:r>
      <w:r w:rsidR="009058EE" w:rsidRPr="00994DC2">
        <w:rPr>
          <w:rFonts w:ascii="Times New Roman" w:hAnsi="Times New Roman"/>
        </w:rPr>
        <w:t>risk sharing institutions</w:t>
      </w:r>
      <w:r w:rsidR="007511F6" w:rsidRPr="00994DC2">
        <w:rPr>
          <w:rFonts w:ascii="Times New Roman" w:hAnsi="Times New Roman"/>
        </w:rPr>
        <w:t xml:space="preserve">.  There has been </w:t>
      </w:r>
      <w:r w:rsidR="009058EE" w:rsidRPr="00994DC2">
        <w:rPr>
          <w:rFonts w:ascii="Times New Roman" w:hAnsi="Times New Roman"/>
        </w:rPr>
        <w:t xml:space="preserve">growing </w:t>
      </w:r>
      <w:r w:rsidR="009058EE" w:rsidRPr="00994DC2">
        <w:rPr>
          <w:rFonts w:ascii="Times New Roman" w:hAnsi="Times New Roman"/>
          <w:i/>
        </w:rPr>
        <w:t xml:space="preserve">structural </w:t>
      </w:r>
      <w:r w:rsidR="009058EE" w:rsidRPr="00994DC2">
        <w:rPr>
          <w:rFonts w:ascii="Times New Roman" w:hAnsi="Times New Roman"/>
        </w:rPr>
        <w:t xml:space="preserve">concentration in the provision of </w:t>
      </w:r>
      <w:r w:rsidR="00226AA7">
        <w:rPr>
          <w:rFonts w:ascii="Times New Roman" w:hAnsi="Times New Roman"/>
        </w:rPr>
        <w:t xml:space="preserve">credit </w:t>
      </w:r>
      <w:r w:rsidR="009058EE" w:rsidRPr="00994DC2">
        <w:rPr>
          <w:rFonts w:ascii="Times New Roman" w:hAnsi="Times New Roman"/>
        </w:rPr>
        <w:t xml:space="preserve">risk guarantees often referred to as </w:t>
      </w:r>
      <w:r w:rsidR="009058EE" w:rsidRPr="00994DC2">
        <w:rPr>
          <w:rFonts w:ascii="Times New Roman" w:hAnsi="Times New Roman"/>
          <w:i/>
        </w:rPr>
        <w:t>too interconnected to fail</w:t>
      </w:r>
      <w:r w:rsidR="009058EE" w:rsidRPr="00994DC2">
        <w:rPr>
          <w:rFonts w:ascii="Times New Roman" w:hAnsi="Times New Roman"/>
        </w:rPr>
        <w:t xml:space="preserve"> arising from the</w:t>
      </w:r>
      <w:r w:rsidR="001D2DA3">
        <w:rPr>
          <w:rFonts w:ascii="Times New Roman" w:hAnsi="Times New Roman"/>
        </w:rPr>
        <w:t xml:space="preserve"> high</w:t>
      </w:r>
      <w:r w:rsidR="009058EE" w:rsidRPr="00994DC2">
        <w:rPr>
          <w:rFonts w:ascii="Times New Roman" w:hAnsi="Times New Roman"/>
        </w:rPr>
        <w:t xml:space="preserve"> concentration of financial links between a few key players.</w:t>
      </w:r>
      <w:r w:rsidR="0023462D">
        <w:rPr>
          <w:rFonts w:ascii="Times New Roman" w:hAnsi="Times New Roman"/>
        </w:rPr>
        <w:t xml:space="preserve"> </w:t>
      </w:r>
      <w:r w:rsidR="00786026">
        <w:rPr>
          <w:rFonts w:ascii="Times New Roman" w:hAnsi="Times New Roman"/>
        </w:rPr>
        <w:t xml:space="preserve"> Using the </w:t>
      </w:r>
      <w:r w:rsidR="008A2646">
        <w:rPr>
          <w:rFonts w:ascii="Times New Roman" w:hAnsi="Times New Roman"/>
        </w:rPr>
        <w:t xml:space="preserve">US FDIC </w:t>
      </w:r>
      <w:r w:rsidR="00786026">
        <w:rPr>
          <w:rFonts w:ascii="Times New Roman" w:hAnsi="Times New Roman"/>
        </w:rPr>
        <w:t>bank data o</w:t>
      </w:r>
      <w:r w:rsidR="00882906">
        <w:rPr>
          <w:rFonts w:ascii="Times New Roman" w:hAnsi="Times New Roman"/>
        </w:rPr>
        <w:t>n</w:t>
      </w:r>
      <w:r w:rsidR="00786026">
        <w:rPr>
          <w:rFonts w:ascii="Times New Roman" w:hAnsi="Times New Roman"/>
        </w:rPr>
        <w:t xml:space="preserve"> </w:t>
      </w:r>
      <w:r w:rsidR="001D2DA3">
        <w:rPr>
          <w:rFonts w:ascii="Times New Roman" w:hAnsi="Times New Roman"/>
        </w:rPr>
        <w:t xml:space="preserve">RMBS and CDS and </w:t>
      </w:r>
      <w:r w:rsidR="00786026">
        <w:rPr>
          <w:rFonts w:ascii="Times New Roman" w:hAnsi="Times New Roman"/>
        </w:rPr>
        <w:t>holdings we</w:t>
      </w:r>
      <w:r w:rsidR="001D2DA3">
        <w:rPr>
          <w:rFonts w:ascii="Times New Roman" w:hAnsi="Times New Roman"/>
        </w:rPr>
        <w:t xml:space="preserve"> will </w:t>
      </w:r>
      <w:r w:rsidR="00B37CF3">
        <w:rPr>
          <w:rFonts w:ascii="Times New Roman" w:hAnsi="Times New Roman"/>
        </w:rPr>
        <w:t xml:space="preserve">develop </w:t>
      </w:r>
      <w:r w:rsidR="001D2DA3">
        <w:rPr>
          <w:rFonts w:ascii="Times New Roman" w:hAnsi="Times New Roman"/>
        </w:rPr>
        <w:t xml:space="preserve">a multi-agent </w:t>
      </w:r>
      <w:r w:rsidR="00786026">
        <w:rPr>
          <w:rFonts w:ascii="Times New Roman" w:hAnsi="Times New Roman"/>
        </w:rPr>
        <w:t>model</w:t>
      </w:r>
      <w:r w:rsidR="001D2DA3">
        <w:rPr>
          <w:rFonts w:ascii="Times New Roman" w:hAnsi="Times New Roman"/>
        </w:rPr>
        <w:t xml:space="preserve"> for the US </w:t>
      </w:r>
      <w:r w:rsidR="00786026">
        <w:rPr>
          <w:rFonts w:ascii="Times New Roman" w:hAnsi="Times New Roman"/>
        </w:rPr>
        <w:t>financial</w:t>
      </w:r>
      <w:r w:rsidR="001D2DA3">
        <w:rPr>
          <w:rFonts w:ascii="Times New Roman" w:hAnsi="Times New Roman"/>
        </w:rPr>
        <w:t xml:space="preserve"> firms to </w:t>
      </w:r>
      <w:r w:rsidR="007C65B4">
        <w:rPr>
          <w:rFonts w:ascii="Times New Roman" w:hAnsi="Times New Roman"/>
        </w:rPr>
        <w:t xml:space="preserve">see how regulatory authorities can monitor and </w:t>
      </w:r>
      <w:r w:rsidR="001D2DA3">
        <w:rPr>
          <w:rFonts w:ascii="Times New Roman" w:hAnsi="Times New Roman"/>
        </w:rPr>
        <w:t xml:space="preserve">assess </w:t>
      </w:r>
      <w:r w:rsidR="007C65B4">
        <w:rPr>
          <w:rFonts w:ascii="Times New Roman" w:hAnsi="Times New Roman"/>
        </w:rPr>
        <w:t xml:space="preserve">the systemic risk implications from </w:t>
      </w:r>
      <w:r w:rsidR="00823975">
        <w:rPr>
          <w:rFonts w:ascii="Times New Roman" w:hAnsi="Times New Roman"/>
        </w:rPr>
        <w:t>such a</w:t>
      </w:r>
      <w:r w:rsidR="00823975">
        <w:rPr>
          <w:rFonts w:ascii="Times New Roman" w:hAnsi="Times New Roman"/>
          <w:color w:val="000000"/>
          <w:lang w:eastAsia="en-GB"/>
        </w:rPr>
        <w:t xml:space="preserve"> toxic build up</w:t>
      </w:r>
      <w:r w:rsidR="007C65B4">
        <w:rPr>
          <w:rFonts w:ascii="Times New Roman" w:hAnsi="Times New Roman"/>
          <w:color w:val="000000"/>
          <w:lang w:eastAsia="en-GB"/>
        </w:rPr>
        <w:t xml:space="preserve">.   </w:t>
      </w:r>
      <w:r w:rsidR="00823975">
        <w:rPr>
          <w:rFonts w:ascii="Times New Roman" w:hAnsi="Times New Roman"/>
          <w:color w:val="000000"/>
          <w:lang w:eastAsia="en-GB"/>
        </w:rPr>
        <w:t xml:space="preserve"> </w:t>
      </w:r>
      <w:r w:rsidR="001D2DA3">
        <w:rPr>
          <w:rFonts w:ascii="Times New Roman" w:hAnsi="Times New Roman"/>
        </w:rPr>
        <w:t xml:space="preserve"> </w:t>
      </w:r>
      <w:r w:rsidR="00B37CF3">
        <w:rPr>
          <w:rFonts w:ascii="Times New Roman" w:hAnsi="Times New Roman"/>
        </w:rPr>
        <w:t xml:space="preserve"> </w:t>
      </w:r>
      <w:r w:rsidR="001D2DA3">
        <w:rPr>
          <w:rFonts w:ascii="Times New Roman" w:hAnsi="Times New Roman"/>
        </w:rPr>
        <w:t xml:space="preserve"> </w:t>
      </w:r>
    </w:p>
    <w:p w:rsidR="004F51D1" w:rsidRPr="00994DC2" w:rsidRDefault="001D6490" w:rsidP="000F64B9">
      <w:pPr>
        <w:tabs>
          <w:tab w:val="left" w:pos="1680"/>
        </w:tabs>
        <w:spacing w:line="360" w:lineRule="auto"/>
        <w:rPr>
          <w:rFonts w:ascii="Times New Roman" w:hAnsi="Times New Roman"/>
        </w:rPr>
      </w:pPr>
      <w:r w:rsidRPr="00994DC2">
        <w:rPr>
          <w:rFonts w:ascii="Times New Roman" w:hAnsi="Times New Roman"/>
        </w:rPr>
        <w:t>T</w:t>
      </w:r>
      <w:r w:rsidR="00117A00" w:rsidRPr="00994DC2">
        <w:rPr>
          <w:rFonts w:ascii="Times New Roman" w:hAnsi="Times New Roman"/>
        </w:rPr>
        <w:t xml:space="preserve">his paper addresses </w:t>
      </w:r>
      <w:r w:rsidR="00B73709" w:rsidRPr="00994DC2">
        <w:rPr>
          <w:rFonts w:ascii="Times New Roman" w:hAnsi="Times New Roman"/>
        </w:rPr>
        <w:t xml:space="preserve">the </w:t>
      </w:r>
      <w:r w:rsidR="00117A00" w:rsidRPr="00994DC2">
        <w:rPr>
          <w:rFonts w:ascii="Times New Roman" w:hAnsi="Times New Roman"/>
        </w:rPr>
        <w:t xml:space="preserve">need to develop new </w:t>
      </w:r>
      <w:r w:rsidR="005C0F25">
        <w:rPr>
          <w:rFonts w:ascii="Times New Roman" w:hAnsi="Times New Roman"/>
        </w:rPr>
        <w:t xml:space="preserve">computational and simulation based </w:t>
      </w:r>
      <w:r w:rsidR="00117A00" w:rsidRPr="00994DC2">
        <w:rPr>
          <w:rFonts w:ascii="Times New Roman" w:hAnsi="Times New Roman"/>
        </w:rPr>
        <w:t xml:space="preserve">methodologies to track bank balance sheet and off balance sheet activity </w:t>
      </w:r>
      <w:r w:rsidR="007C06C6" w:rsidRPr="00994DC2">
        <w:rPr>
          <w:rFonts w:ascii="Times New Roman" w:hAnsi="Times New Roman"/>
        </w:rPr>
        <w:t xml:space="preserve">of financial intermediaries </w:t>
      </w:r>
      <w:r w:rsidR="007C65B4">
        <w:rPr>
          <w:rFonts w:ascii="Times New Roman" w:hAnsi="Times New Roman"/>
        </w:rPr>
        <w:t>in</w:t>
      </w:r>
      <w:r w:rsidR="00117A00" w:rsidRPr="00994DC2">
        <w:rPr>
          <w:rFonts w:ascii="Times New Roman" w:hAnsi="Times New Roman"/>
        </w:rPr>
        <w:t xml:space="preserve"> response to changes in regulatory policy and </w:t>
      </w:r>
      <w:r w:rsidR="007C65B4">
        <w:rPr>
          <w:rFonts w:ascii="Times New Roman" w:hAnsi="Times New Roman"/>
        </w:rPr>
        <w:t xml:space="preserve">also due to </w:t>
      </w:r>
      <w:r w:rsidR="00117A00" w:rsidRPr="00994DC2">
        <w:rPr>
          <w:rFonts w:ascii="Times New Roman" w:hAnsi="Times New Roman"/>
        </w:rPr>
        <w:t xml:space="preserve">competitive co-evolutionary pressures to grow market share. </w:t>
      </w:r>
      <w:r w:rsidR="00B664C7">
        <w:rPr>
          <w:rFonts w:ascii="Times New Roman" w:hAnsi="Times New Roman"/>
        </w:rPr>
        <w:t xml:space="preserve"> </w:t>
      </w:r>
      <w:r w:rsidR="00C61331" w:rsidRPr="00994DC2">
        <w:rPr>
          <w:rFonts w:ascii="Times New Roman" w:hAnsi="Times New Roman"/>
        </w:rPr>
        <w:t>Markose (2005) has advocated the use of a complex adaptive system perspective</w:t>
      </w:r>
      <w:r w:rsidR="00CD6904">
        <w:rPr>
          <w:rFonts w:ascii="Times New Roman" w:hAnsi="Times New Roman"/>
        </w:rPr>
        <w:t xml:space="preserve">, the </w:t>
      </w:r>
      <w:r w:rsidR="00C61331" w:rsidRPr="00994DC2">
        <w:rPr>
          <w:rFonts w:ascii="Times New Roman" w:hAnsi="Times New Roman"/>
          <w:i/>
        </w:rPr>
        <w:t>sine qua non</w:t>
      </w:r>
      <w:r w:rsidR="0010522B" w:rsidRPr="00994DC2">
        <w:rPr>
          <w:rFonts w:ascii="Times New Roman" w:hAnsi="Times New Roman"/>
          <w:i/>
        </w:rPr>
        <w:t xml:space="preserve"> </w:t>
      </w:r>
      <w:r w:rsidR="00CD6904">
        <w:rPr>
          <w:rFonts w:ascii="Times New Roman" w:hAnsi="Times New Roman"/>
        </w:rPr>
        <w:t xml:space="preserve">of which </w:t>
      </w:r>
      <w:r w:rsidR="003669E2" w:rsidRPr="00994DC2">
        <w:rPr>
          <w:rFonts w:ascii="Times New Roman" w:hAnsi="Times New Roman"/>
        </w:rPr>
        <w:t>is strategic innovation or novelty production within a Red Queen type arms race between participants.</w:t>
      </w:r>
      <w:r w:rsidR="003E5160" w:rsidRPr="00994DC2">
        <w:rPr>
          <w:rFonts w:ascii="Times New Roman" w:hAnsi="Times New Roman"/>
        </w:rPr>
        <w:t xml:space="preserve"> </w:t>
      </w:r>
      <w:r w:rsidR="00C61331" w:rsidRPr="00994DC2">
        <w:rPr>
          <w:rFonts w:ascii="Times New Roman" w:hAnsi="Times New Roman"/>
        </w:rPr>
        <w:t>Traditional policy related models, often in the stochastic control or dynamic programming framework ignore th</w:t>
      </w:r>
      <w:r w:rsidR="003E5160" w:rsidRPr="00994DC2">
        <w:rPr>
          <w:rFonts w:ascii="Times New Roman" w:hAnsi="Times New Roman"/>
        </w:rPr>
        <w:t>is facet of competitive co-evolution.</w:t>
      </w:r>
      <w:r w:rsidR="00C61331" w:rsidRPr="00994DC2">
        <w:rPr>
          <w:rFonts w:ascii="Times New Roman" w:hAnsi="Times New Roman"/>
        </w:rPr>
        <w:t xml:space="preserve">  </w:t>
      </w:r>
      <w:r w:rsidR="00657A41" w:rsidRPr="00994DC2">
        <w:rPr>
          <w:rFonts w:ascii="Times New Roman" w:hAnsi="Times New Roman"/>
        </w:rPr>
        <w:t xml:space="preserve">As in other complex adaptive systems such as biological ones, the Red Queen competitive co-evolution is known to be rampant among market participants and between </w:t>
      </w:r>
      <w:r w:rsidR="0026713E" w:rsidRPr="00994DC2">
        <w:rPr>
          <w:rFonts w:ascii="Times New Roman" w:hAnsi="Times New Roman"/>
        </w:rPr>
        <w:t xml:space="preserve">regulators and </w:t>
      </w:r>
      <w:proofErr w:type="spellStart"/>
      <w:r w:rsidR="0026713E" w:rsidRPr="00994DC2">
        <w:rPr>
          <w:rFonts w:ascii="Times New Roman" w:hAnsi="Times New Roman"/>
        </w:rPr>
        <w:t>regulatees</w:t>
      </w:r>
      <w:proofErr w:type="spellEnd"/>
      <w:r w:rsidR="00657A41" w:rsidRPr="00994DC2">
        <w:rPr>
          <w:rFonts w:ascii="Times New Roman" w:hAnsi="Times New Roman"/>
        </w:rPr>
        <w:t xml:space="preserve">. </w:t>
      </w:r>
      <w:r w:rsidR="00B664C7">
        <w:rPr>
          <w:rFonts w:ascii="Times New Roman" w:hAnsi="Times New Roman"/>
        </w:rPr>
        <w:t xml:space="preserve"> </w:t>
      </w:r>
      <w:r w:rsidR="00657A41" w:rsidRPr="00994DC2">
        <w:rPr>
          <w:rFonts w:ascii="Times New Roman" w:hAnsi="Times New Roman"/>
        </w:rPr>
        <w:t xml:space="preserve">The implications of this for regulatory arbitrage endemic to the current financial crisis should be noted. </w:t>
      </w:r>
      <w:r w:rsidR="00A276F1">
        <w:rPr>
          <w:rFonts w:ascii="Times New Roman" w:hAnsi="Times New Roman"/>
        </w:rPr>
        <w:t xml:space="preserve"> </w:t>
      </w:r>
      <w:r w:rsidR="00657A41" w:rsidRPr="00994DC2">
        <w:rPr>
          <w:rFonts w:ascii="Times New Roman" w:hAnsi="Times New Roman"/>
        </w:rPr>
        <w:t>Indeed, the nail in the coffin of large scale macro-econometric models came with the Lucas Critique on the capacity of a rule breaking private sector which can anticipate policy and negate policy or jeopardize the system by a process of regulatory arbitrage</w:t>
      </w:r>
      <w:r w:rsidR="00EF4692" w:rsidRPr="00994DC2">
        <w:rPr>
          <w:rFonts w:ascii="Times New Roman" w:hAnsi="Times New Roman"/>
        </w:rPr>
        <w:t xml:space="preserve">  (see,  </w:t>
      </w:r>
      <w:r w:rsidR="0082193B" w:rsidRPr="00994DC2">
        <w:rPr>
          <w:rFonts w:ascii="Times New Roman" w:hAnsi="Times New Roman"/>
        </w:rPr>
        <w:t>Markose, 2005, Sections 3 and 4</w:t>
      </w:r>
      <w:r w:rsidR="00EF4692" w:rsidRPr="00994DC2">
        <w:rPr>
          <w:rFonts w:ascii="Times New Roman" w:hAnsi="Times New Roman"/>
        </w:rPr>
        <w:t>)</w:t>
      </w:r>
      <w:r w:rsidR="00657A41" w:rsidRPr="00994DC2">
        <w:rPr>
          <w:rFonts w:ascii="Times New Roman" w:hAnsi="Times New Roman"/>
        </w:rPr>
        <w:t xml:space="preserve">. </w:t>
      </w:r>
      <w:r w:rsidR="0026713E" w:rsidRPr="00994DC2">
        <w:rPr>
          <w:rFonts w:ascii="Times New Roman" w:hAnsi="Times New Roman"/>
        </w:rPr>
        <w:t xml:space="preserve"> </w:t>
      </w:r>
      <w:r w:rsidR="00657A41" w:rsidRPr="00994DC2">
        <w:rPr>
          <w:rFonts w:ascii="Times New Roman" w:hAnsi="Times New Roman"/>
        </w:rPr>
        <w:t>Such strategic behaviour results in a lack of structural invariance of the equations being estimated, highlighting the restrictiveness of econometric modelling for policy analysis.</w:t>
      </w:r>
      <w:r w:rsidR="00CB5959" w:rsidRPr="00994DC2">
        <w:rPr>
          <w:rFonts w:ascii="Times New Roman" w:hAnsi="Times New Roman"/>
        </w:rPr>
        <w:t xml:space="preserve">  </w:t>
      </w:r>
      <w:r w:rsidR="00C61331" w:rsidRPr="00994DC2">
        <w:rPr>
          <w:rFonts w:ascii="Times New Roman" w:hAnsi="Times New Roman"/>
        </w:rPr>
        <w:t xml:space="preserve"> </w:t>
      </w:r>
      <w:r w:rsidR="00117A00" w:rsidRPr="00994DC2">
        <w:rPr>
          <w:rFonts w:ascii="Times New Roman" w:hAnsi="Times New Roman"/>
        </w:rPr>
        <w:t xml:space="preserve"> </w:t>
      </w:r>
    </w:p>
    <w:p w:rsidR="0010522B" w:rsidRPr="00994DC2" w:rsidRDefault="00117A00" w:rsidP="00994DC2">
      <w:pPr>
        <w:spacing w:line="360" w:lineRule="auto"/>
        <w:jc w:val="both"/>
        <w:rPr>
          <w:rFonts w:ascii="Times New Roman" w:eastAsia="Times New Roman" w:hAnsi="Times New Roman"/>
          <w:lang w:eastAsia="en-GB"/>
        </w:rPr>
      </w:pPr>
      <w:r w:rsidRPr="00994DC2">
        <w:rPr>
          <w:rFonts w:ascii="Times New Roman" w:hAnsi="Times New Roman"/>
        </w:rPr>
        <w:t xml:space="preserve">Agent based </w:t>
      </w:r>
      <w:r w:rsidR="00FB50D9" w:rsidRPr="00994DC2">
        <w:rPr>
          <w:rFonts w:ascii="Times New Roman" w:hAnsi="Times New Roman"/>
        </w:rPr>
        <w:t>computational economic</w:t>
      </w:r>
      <w:r w:rsidR="00CB5959" w:rsidRPr="00994DC2">
        <w:rPr>
          <w:rFonts w:ascii="Times New Roman" w:hAnsi="Times New Roman"/>
        </w:rPr>
        <w:t>s</w:t>
      </w:r>
      <w:r w:rsidR="00FB50D9" w:rsidRPr="00994DC2">
        <w:rPr>
          <w:rFonts w:ascii="Times New Roman" w:hAnsi="Times New Roman"/>
        </w:rPr>
        <w:t xml:space="preserve"> or ACE using the acronym coined by Leigh Tesfatsion </w:t>
      </w:r>
      <w:r w:rsidR="00657A41" w:rsidRPr="00994DC2">
        <w:rPr>
          <w:rFonts w:ascii="Times New Roman" w:hAnsi="Times New Roman"/>
        </w:rPr>
        <w:t xml:space="preserve"> (see,</w:t>
      </w:r>
      <w:r w:rsidR="005613E7">
        <w:rPr>
          <w:rFonts w:ascii="Times New Roman" w:hAnsi="Times New Roman"/>
        </w:rPr>
        <w:t xml:space="preserve">  Tesfatsion </w:t>
      </w:r>
      <w:r w:rsidR="005D1D8D">
        <w:rPr>
          <w:rFonts w:ascii="Times New Roman" w:hAnsi="Times New Roman"/>
        </w:rPr>
        <w:t>and Judd, 2006</w:t>
      </w:r>
      <w:r w:rsidR="005613E7">
        <w:rPr>
          <w:rFonts w:ascii="Times New Roman" w:hAnsi="Times New Roman"/>
        </w:rPr>
        <w:t xml:space="preserve"> )</w:t>
      </w:r>
      <w:r w:rsidR="00661A01">
        <w:rPr>
          <w:rFonts w:ascii="Times New Roman" w:hAnsi="Times New Roman"/>
        </w:rPr>
        <w:t xml:space="preserve"> </w:t>
      </w:r>
      <w:r w:rsidR="00226AA7">
        <w:rPr>
          <w:rFonts w:ascii="Times New Roman" w:hAnsi="Times New Roman"/>
        </w:rPr>
        <w:t xml:space="preserve">is based on </w:t>
      </w:r>
      <w:r w:rsidR="00FB50D9" w:rsidRPr="00994DC2">
        <w:rPr>
          <w:rFonts w:ascii="Times New Roman" w:hAnsi="Times New Roman"/>
        </w:rPr>
        <w:t>object ori</w:t>
      </w:r>
      <w:r w:rsidR="003E5160" w:rsidRPr="00994DC2">
        <w:rPr>
          <w:rFonts w:ascii="Times New Roman" w:hAnsi="Times New Roman"/>
        </w:rPr>
        <w:t>e</w:t>
      </w:r>
      <w:r w:rsidR="00FB50D9" w:rsidRPr="00994DC2">
        <w:rPr>
          <w:rFonts w:ascii="Times New Roman" w:hAnsi="Times New Roman"/>
        </w:rPr>
        <w:t>n</w:t>
      </w:r>
      <w:r w:rsidR="003E5160" w:rsidRPr="00994DC2">
        <w:rPr>
          <w:rFonts w:ascii="Times New Roman" w:hAnsi="Times New Roman"/>
        </w:rPr>
        <w:t>t</w:t>
      </w:r>
      <w:r w:rsidR="00FB50D9" w:rsidRPr="00994DC2">
        <w:rPr>
          <w:rFonts w:ascii="Times New Roman" w:hAnsi="Times New Roman"/>
        </w:rPr>
        <w:t>ed program</w:t>
      </w:r>
      <w:r w:rsidR="008D0875">
        <w:rPr>
          <w:rFonts w:ascii="Times New Roman" w:hAnsi="Times New Roman"/>
        </w:rPr>
        <w:t>m</w:t>
      </w:r>
      <w:r w:rsidR="00FB50D9" w:rsidRPr="00994DC2">
        <w:rPr>
          <w:rFonts w:ascii="Times New Roman" w:hAnsi="Times New Roman"/>
        </w:rPr>
        <w:t xml:space="preserve">ing that can produce </w:t>
      </w:r>
      <w:r w:rsidR="0010522B" w:rsidRPr="00994DC2">
        <w:rPr>
          <w:rFonts w:ascii="Times New Roman" w:eastAsia="Times New Roman" w:hAnsi="Times New Roman"/>
          <w:lang w:eastAsia="en-GB"/>
        </w:rPr>
        <w:t>agents that are both inanimate (</w:t>
      </w:r>
      <w:proofErr w:type="spellStart"/>
      <w:r w:rsidR="0010522B" w:rsidRPr="00994DC2">
        <w:rPr>
          <w:rFonts w:ascii="Times New Roman" w:eastAsia="Times New Roman" w:hAnsi="Times New Roman"/>
          <w:lang w:eastAsia="en-GB"/>
        </w:rPr>
        <w:t>eg</w:t>
      </w:r>
      <w:proofErr w:type="spellEnd"/>
      <w:r w:rsidR="0010522B" w:rsidRPr="00994DC2">
        <w:rPr>
          <w:rFonts w:ascii="Times New Roman" w:eastAsia="Times New Roman" w:hAnsi="Times New Roman"/>
          <w:lang w:eastAsia="en-GB"/>
        </w:rPr>
        <w:t>. repositories of data bases) as well as behavioural agents capable of varying degrees of computational intelligence</w:t>
      </w:r>
      <w:r w:rsidR="007511F6" w:rsidRPr="00994DC2">
        <w:rPr>
          <w:rFonts w:ascii="Times New Roman" w:eastAsia="Times New Roman" w:hAnsi="Times New Roman"/>
          <w:lang w:eastAsia="en-GB"/>
        </w:rPr>
        <w:t xml:space="preserve">. These range </w:t>
      </w:r>
      <w:r w:rsidR="0010522B" w:rsidRPr="00994DC2">
        <w:rPr>
          <w:rFonts w:ascii="Times New Roman" w:eastAsia="Times New Roman" w:hAnsi="Times New Roman"/>
          <w:lang w:eastAsia="en-GB"/>
        </w:rPr>
        <w:t>from fixed rules to fully adaptive agents representing real world entities (such as banks or consumers)</w:t>
      </w:r>
      <w:r w:rsidR="003E5160" w:rsidRPr="00994DC2">
        <w:rPr>
          <w:rFonts w:ascii="Times New Roman" w:eastAsia="Times New Roman" w:hAnsi="Times New Roman"/>
          <w:lang w:eastAsia="en-GB"/>
        </w:rPr>
        <w:t xml:space="preserve"> in artificial environment</w:t>
      </w:r>
      <w:r w:rsidR="00782108" w:rsidRPr="00994DC2">
        <w:rPr>
          <w:rFonts w:ascii="Times New Roman" w:eastAsia="Times New Roman" w:hAnsi="Times New Roman"/>
          <w:lang w:eastAsia="en-GB"/>
        </w:rPr>
        <w:t>s</w:t>
      </w:r>
      <w:r w:rsidR="003E5160" w:rsidRPr="00994DC2">
        <w:rPr>
          <w:rFonts w:ascii="Times New Roman" w:eastAsia="Times New Roman" w:hAnsi="Times New Roman"/>
          <w:lang w:eastAsia="en-GB"/>
        </w:rPr>
        <w:t xml:space="preserve"> which can be replicas of, for instance, the financial system.</w:t>
      </w:r>
      <w:r w:rsidR="004F51D1" w:rsidRPr="00994DC2">
        <w:rPr>
          <w:rFonts w:ascii="Times New Roman" w:eastAsia="Times New Roman" w:hAnsi="Times New Roman"/>
          <w:lang w:eastAsia="en-GB"/>
        </w:rPr>
        <w:t xml:space="preserve"> </w:t>
      </w:r>
      <w:r w:rsidR="005D1D8D">
        <w:rPr>
          <w:rFonts w:ascii="Times New Roman" w:eastAsia="Times New Roman" w:hAnsi="Times New Roman"/>
          <w:lang w:eastAsia="en-GB"/>
        </w:rPr>
        <w:t xml:space="preserve"> </w:t>
      </w:r>
      <w:r w:rsidR="005613E7">
        <w:rPr>
          <w:rFonts w:ascii="Times New Roman" w:eastAsia="Times New Roman" w:hAnsi="Times New Roman"/>
          <w:lang w:eastAsia="en-GB"/>
        </w:rPr>
        <w:t xml:space="preserve">Recently, many </w:t>
      </w:r>
      <w:r w:rsidR="004F51D1" w:rsidRPr="00994DC2">
        <w:rPr>
          <w:rFonts w:ascii="Times New Roman" w:eastAsia="Times New Roman" w:hAnsi="Times New Roman"/>
          <w:lang w:eastAsia="en-GB"/>
        </w:rPr>
        <w:t>ha</w:t>
      </w:r>
      <w:r w:rsidR="005613E7">
        <w:rPr>
          <w:rFonts w:ascii="Times New Roman" w:eastAsia="Times New Roman" w:hAnsi="Times New Roman"/>
          <w:lang w:eastAsia="en-GB"/>
        </w:rPr>
        <w:t>ve</w:t>
      </w:r>
      <w:r w:rsidR="00CB5959" w:rsidRPr="00994DC2">
        <w:rPr>
          <w:rFonts w:ascii="Times New Roman" w:eastAsia="Times New Roman" w:hAnsi="Times New Roman"/>
          <w:lang w:eastAsia="en-GB"/>
        </w:rPr>
        <w:t xml:space="preserve"> emphasized the uses of ACE simulation platforms for </w:t>
      </w:r>
      <w:r w:rsidR="005613E7">
        <w:rPr>
          <w:rFonts w:ascii="Times New Roman" w:eastAsia="Times New Roman" w:hAnsi="Times New Roman"/>
          <w:lang w:eastAsia="en-GB"/>
        </w:rPr>
        <w:t>digital mapping of the financial system</w:t>
      </w:r>
      <w:r w:rsidR="009239C4">
        <w:rPr>
          <w:rFonts w:ascii="Times New Roman" w:eastAsia="Times New Roman" w:hAnsi="Times New Roman"/>
          <w:lang w:eastAsia="en-GB"/>
        </w:rPr>
        <w:t>,</w:t>
      </w:r>
      <w:r w:rsidR="005613E7">
        <w:rPr>
          <w:rFonts w:ascii="Times New Roman" w:eastAsia="Times New Roman" w:hAnsi="Times New Roman"/>
          <w:lang w:eastAsia="en-GB"/>
        </w:rPr>
        <w:t xml:space="preserve"> </w:t>
      </w:r>
      <w:r w:rsidR="00CB5959" w:rsidRPr="00994DC2">
        <w:rPr>
          <w:rFonts w:ascii="Times New Roman" w:eastAsia="Times New Roman" w:hAnsi="Times New Roman"/>
          <w:lang w:eastAsia="en-GB"/>
        </w:rPr>
        <w:t>stress testing policy</w:t>
      </w:r>
      <w:r w:rsidR="005613E7">
        <w:rPr>
          <w:rFonts w:ascii="Times New Roman" w:eastAsia="Times New Roman" w:hAnsi="Times New Roman"/>
          <w:lang w:eastAsia="en-GB"/>
        </w:rPr>
        <w:t xml:space="preserve"> </w:t>
      </w:r>
      <w:r w:rsidR="00404A45">
        <w:rPr>
          <w:rFonts w:ascii="Times New Roman" w:eastAsia="Times New Roman" w:hAnsi="Times New Roman"/>
          <w:lang w:eastAsia="en-GB"/>
        </w:rPr>
        <w:t>and for</w:t>
      </w:r>
      <w:r w:rsidR="005613E7">
        <w:rPr>
          <w:rFonts w:ascii="Times New Roman" w:eastAsia="Times New Roman" w:hAnsi="Times New Roman"/>
          <w:lang w:eastAsia="en-GB"/>
        </w:rPr>
        <w:t xml:space="preserve"> </w:t>
      </w:r>
      <w:r w:rsidR="005613E7">
        <w:rPr>
          <w:rFonts w:ascii="Times New Roman" w:eastAsia="Times New Roman" w:hAnsi="Times New Roman"/>
          <w:lang w:eastAsia="en-GB"/>
        </w:rPr>
        <w:lastRenderedPageBreak/>
        <w:t>institutional design (</w:t>
      </w:r>
      <w:r w:rsidR="005D1D8D">
        <w:rPr>
          <w:rFonts w:ascii="Times New Roman" w:eastAsia="Times New Roman" w:hAnsi="Times New Roman"/>
          <w:lang w:eastAsia="en-GB"/>
        </w:rPr>
        <w:t xml:space="preserve">see, </w:t>
      </w:r>
      <w:r w:rsidR="005613E7">
        <w:rPr>
          <w:rFonts w:ascii="Times New Roman" w:eastAsia="Times New Roman" w:hAnsi="Times New Roman"/>
          <w:lang w:eastAsia="en-GB"/>
        </w:rPr>
        <w:t>Buch</w:t>
      </w:r>
      <w:r w:rsidR="00807AD1">
        <w:rPr>
          <w:rFonts w:ascii="Times New Roman" w:eastAsia="Times New Roman" w:hAnsi="Times New Roman"/>
          <w:lang w:eastAsia="en-GB"/>
        </w:rPr>
        <w:t>a</w:t>
      </w:r>
      <w:r w:rsidR="005D1D8D">
        <w:rPr>
          <w:rFonts w:ascii="Times New Roman" w:eastAsia="Times New Roman" w:hAnsi="Times New Roman"/>
          <w:lang w:eastAsia="en-GB"/>
        </w:rPr>
        <w:t xml:space="preserve">nan, 2009 and </w:t>
      </w:r>
      <w:r w:rsidR="005613E7">
        <w:rPr>
          <w:rFonts w:ascii="Times New Roman" w:eastAsia="Times New Roman" w:hAnsi="Times New Roman"/>
          <w:lang w:eastAsia="en-GB"/>
        </w:rPr>
        <w:t>Markose, 2011</w:t>
      </w:r>
      <w:r w:rsidR="005D1D8D">
        <w:rPr>
          <w:rFonts w:ascii="Times New Roman" w:eastAsia="Times New Roman" w:hAnsi="Times New Roman"/>
          <w:lang w:eastAsia="en-GB"/>
        </w:rPr>
        <w:t>).</w:t>
      </w:r>
      <w:r w:rsidR="00CB5959" w:rsidRPr="00994DC2">
        <w:rPr>
          <w:rFonts w:ascii="Times New Roman" w:eastAsia="Times New Roman" w:hAnsi="Times New Roman"/>
          <w:lang w:eastAsia="en-GB"/>
        </w:rPr>
        <w:t xml:space="preserve"> </w:t>
      </w:r>
      <w:r w:rsidR="009239C4">
        <w:rPr>
          <w:rFonts w:ascii="Times New Roman" w:eastAsia="Times New Roman" w:hAnsi="Times New Roman"/>
          <w:lang w:eastAsia="en-GB"/>
        </w:rPr>
        <w:t xml:space="preserve"> </w:t>
      </w:r>
      <w:r w:rsidR="0010522B" w:rsidRPr="00994DC2">
        <w:rPr>
          <w:rFonts w:ascii="Times New Roman" w:eastAsia="Times New Roman" w:hAnsi="Times New Roman"/>
          <w:lang w:eastAsia="en-GB"/>
        </w:rPr>
        <w:t xml:space="preserve">These </w:t>
      </w:r>
      <w:r w:rsidR="003E5160" w:rsidRPr="00994DC2">
        <w:rPr>
          <w:rFonts w:ascii="Times New Roman" w:eastAsia="Times New Roman" w:hAnsi="Times New Roman"/>
          <w:lang w:eastAsia="en-GB"/>
        </w:rPr>
        <w:t>a</w:t>
      </w:r>
      <w:r w:rsidR="0010522B" w:rsidRPr="00994DC2">
        <w:rPr>
          <w:rFonts w:ascii="Times New Roman" w:eastAsia="Times New Roman" w:hAnsi="Times New Roman"/>
          <w:lang w:eastAsia="en-GB"/>
        </w:rPr>
        <w:t xml:space="preserve">rtificial environments </w:t>
      </w:r>
      <w:r w:rsidR="003E5160" w:rsidRPr="00994DC2">
        <w:rPr>
          <w:rFonts w:ascii="Times New Roman" w:eastAsia="Times New Roman" w:hAnsi="Times New Roman"/>
          <w:lang w:eastAsia="en-GB"/>
        </w:rPr>
        <w:t>can</w:t>
      </w:r>
      <w:r w:rsidR="0010522B" w:rsidRPr="00994DC2">
        <w:rPr>
          <w:rFonts w:ascii="Times New Roman" w:eastAsia="Times New Roman" w:hAnsi="Times New Roman"/>
          <w:lang w:eastAsia="en-GB"/>
        </w:rPr>
        <w:t xml:space="preserve"> depict real time orientation, institutional rules, and also complex interactions. </w:t>
      </w:r>
      <w:r w:rsidR="003E5160" w:rsidRPr="00994DC2">
        <w:rPr>
          <w:rFonts w:ascii="Times New Roman" w:eastAsia="Times New Roman" w:hAnsi="Times New Roman"/>
          <w:lang w:eastAsia="en-GB"/>
        </w:rPr>
        <w:t>F</w:t>
      </w:r>
      <w:r w:rsidR="001D6490" w:rsidRPr="00994DC2">
        <w:rPr>
          <w:rFonts w:ascii="Times New Roman" w:hAnsi="Times New Roman"/>
        </w:rPr>
        <w:t xml:space="preserve">or the simulation framework to be useful for assessment of policy, financial </w:t>
      </w:r>
      <w:r w:rsidR="00F63349" w:rsidRPr="00994DC2">
        <w:rPr>
          <w:rFonts w:ascii="Times New Roman" w:hAnsi="Times New Roman"/>
        </w:rPr>
        <w:t xml:space="preserve">firm </w:t>
      </w:r>
      <w:r w:rsidR="001D6490" w:rsidRPr="00994DC2">
        <w:rPr>
          <w:rFonts w:ascii="Times New Roman" w:hAnsi="Times New Roman"/>
        </w:rPr>
        <w:t xml:space="preserve">level responses </w:t>
      </w:r>
      <w:r w:rsidR="007511F6" w:rsidRPr="00994DC2">
        <w:rPr>
          <w:rFonts w:ascii="Times New Roman" w:hAnsi="Times New Roman"/>
        </w:rPr>
        <w:t xml:space="preserve">must be modelled in the context of prevalent </w:t>
      </w:r>
      <w:r w:rsidR="001D6490" w:rsidRPr="00994DC2">
        <w:rPr>
          <w:rFonts w:ascii="Times New Roman" w:hAnsi="Times New Roman"/>
        </w:rPr>
        <w:t xml:space="preserve">market conditions and </w:t>
      </w:r>
      <w:r w:rsidR="005D1D8D">
        <w:rPr>
          <w:rFonts w:ascii="Times New Roman" w:hAnsi="Times New Roman"/>
        </w:rPr>
        <w:t xml:space="preserve">with automated access to </w:t>
      </w:r>
      <w:r w:rsidR="001D6490" w:rsidRPr="00994DC2">
        <w:rPr>
          <w:rFonts w:ascii="Times New Roman" w:hAnsi="Times New Roman"/>
        </w:rPr>
        <w:t>balance sheet and off</w:t>
      </w:r>
      <w:r w:rsidR="003C4EB4">
        <w:rPr>
          <w:rFonts w:ascii="Times New Roman" w:hAnsi="Times New Roman"/>
        </w:rPr>
        <w:t>-</w:t>
      </w:r>
      <w:r w:rsidR="001D6490" w:rsidRPr="00994DC2">
        <w:rPr>
          <w:rFonts w:ascii="Times New Roman" w:hAnsi="Times New Roman"/>
        </w:rPr>
        <w:t xml:space="preserve"> balance sheet data </w:t>
      </w:r>
      <w:r w:rsidR="003E5160" w:rsidRPr="00994DC2">
        <w:rPr>
          <w:rFonts w:ascii="Times New Roman" w:hAnsi="Times New Roman"/>
        </w:rPr>
        <w:t xml:space="preserve">to anchor the financial decisions </w:t>
      </w:r>
      <w:r w:rsidR="00DD20AA" w:rsidRPr="00994DC2">
        <w:rPr>
          <w:rFonts w:ascii="Times New Roman" w:hAnsi="Times New Roman"/>
        </w:rPr>
        <w:t xml:space="preserve">being simulated. </w:t>
      </w:r>
      <w:r w:rsidR="009239C4">
        <w:rPr>
          <w:rFonts w:ascii="Times New Roman" w:hAnsi="Times New Roman"/>
        </w:rPr>
        <w:t xml:space="preserve"> </w:t>
      </w:r>
      <w:r w:rsidR="00DD20AA" w:rsidRPr="00994DC2">
        <w:rPr>
          <w:rFonts w:ascii="Times New Roman" w:hAnsi="Times New Roman"/>
        </w:rPr>
        <w:t>Further, t</w:t>
      </w:r>
      <w:r w:rsidR="0010522B" w:rsidRPr="00994DC2">
        <w:rPr>
          <w:rFonts w:ascii="Times New Roman" w:eastAsia="Times New Roman" w:hAnsi="Times New Roman"/>
          <w:lang w:eastAsia="en-GB"/>
        </w:rPr>
        <w:t xml:space="preserve">he interactions of agents produce system wide dynamics that are not restricted to pre-specified equations which have to be estimated using past data in econometric or time series approaches. </w:t>
      </w:r>
      <w:r w:rsidR="009239C4">
        <w:rPr>
          <w:rFonts w:ascii="Times New Roman" w:eastAsia="Times New Roman" w:hAnsi="Times New Roman"/>
          <w:lang w:eastAsia="en-GB"/>
        </w:rPr>
        <w:t xml:space="preserve"> </w:t>
      </w:r>
      <w:r w:rsidR="00637ABA">
        <w:rPr>
          <w:rFonts w:ascii="Times New Roman" w:eastAsia="Times New Roman" w:hAnsi="Times New Roman"/>
          <w:lang w:eastAsia="en-GB"/>
        </w:rPr>
        <w:t xml:space="preserve">In an agent-based model, each agent follows </w:t>
      </w:r>
      <w:r w:rsidR="008D0875">
        <w:rPr>
          <w:rFonts w:ascii="Times New Roman" w:eastAsia="Times New Roman" w:hAnsi="Times New Roman"/>
          <w:lang w:eastAsia="en-GB"/>
        </w:rPr>
        <w:t xml:space="preserve">explicit </w:t>
      </w:r>
      <w:r w:rsidR="00637ABA">
        <w:rPr>
          <w:rFonts w:ascii="Times New Roman" w:eastAsia="Times New Roman" w:hAnsi="Times New Roman"/>
          <w:lang w:eastAsia="en-GB"/>
        </w:rPr>
        <w:t>rules or strategies under specified market condit</w:t>
      </w:r>
      <w:r w:rsidR="006C27E9">
        <w:rPr>
          <w:rFonts w:ascii="Times New Roman" w:eastAsia="Times New Roman" w:hAnsi="Times New Roman"/>
          <w:lang w:eastAsia="en-GB"/>
        </w:rPr>
        <w:t>i</w:t>
      </w:r>
      <w:r w:rsidR="00637ABA">
        <w:rPr>
          <w:rFonts w:ascii="Times New Roman" w:eastAsia="Times New Roman" w:hAnsi="Times New Roman"/>
          <w:lang w:eastAsia="en-GB"/>
        </w:rPr>
        <w:t>ons and a ‘probe’ monitors</w:t>
      </w:r>
      <w:r w:rsidR="00404A45">
        <w:rPr>
          <w:rFonts w:ascii="Times New Roman" w:eastAsia="Times New Roman" w:hAnsi="Times New Roman"/>
          <w:lang w:eastAsia="en-GB"/>
        </w:rPr>
        <w:t xml:space="preserve"> causal internal workings and also</w:t>
      </w:r>
      <w:r w:rsidR="00637ABA">
        <w:rPr>
          <w:rFonts w:ascii="Times New Roman" w:eastAsia="Times New Roman" w:hAnsi="Times New Roman"/>
          <w:lang w:eastAsia="en-GB"/>
        </w:rPr>
        <w:t xml:space="preserve"> aggregates outcomes. </w:t>
      </w:r>
      <w:r w:rsidR="00404A45">
        <w:rPr>
          <w:rFonts w:ascii="Times New Roman" w:eastAsia="Times New Roman" w:hAnsi="Times New Roman"/>
          <w:lang w:eastAsia="en-GB"/>
        </w:rPr>
        <w:t xml:space="preserve"> </w:t>
      </w:r>
      <w:r w:rsidR="00637ABA">
        <w:rPr>
          <w:rFonts w:ascii="Times New Roman" w:eastAsia="Times New Roman" w:hAnsi="Times New Roman"/>
          <w:lang w:eastAsia="en-GB"/>
        </w:rPr>
        <w:t>In contrast, t</w:t>
      </w:r>
      <w:r w:rsidR="0010522B" w:rsidRPr="00994DC2">
        <w:rPr>
          <w:rFonts w:ascii="Times New Roman" w:eastAsia="Times New Roman" w:hAnsi="Times New Roman"/>
          <w:lang w:eastAsia="en-GB"/>
        </w:rPr>
        <w:t>he main draw</w:t>
      </w:r>
      <w:r w:rsidR="002130A4">
        <w:rPr>
          <w:rFonts w:ascii="Times New Roman" w:eastAsia="Times New Roman" w:hAnsi="Times New Roman"/>
          <w:lang w:eastAsia="en-GB"/>
        </w:rPr>
        <w:t>-</w:t>
      </w:r>
      <w:r w:rsidR="0010522B" w:rsidRPr="00994DC2">
        <w:rPr>
          <w:rFonts w:ascii="Times New Roman" w:eastAsia="Times New Roman" w:hAnsi="Times New Roman"/>
          <w:lang w:eastAsia="en-GB"/>
        </w:rPr>
        <w:t xml:space="preserve">back of </w:t>
      </w:r>
      <w:r w:rsidR="002130A4">
        <w:rPr>
          <w:rFonts w:ascii="Times New Roman" w:eastAsia="Times New Roman" w:hAnsi="Times New Roman"/>
          <w:lang w:eastAsia="en-GB"/>
        </w:rPr>
        <w:t xml:space="preserve">estimation </w:t>
      </w:r>
      <w:r w:rsidR="005D1D8D">
        <w:rPr>
          <w:rFonts w:ascii="Times New Roman" w:eastAsia="Times New Roman" w:hAnsi="Times New Roman"/>
          <w:lang w:eastAsia="en-GB"/>
        </w:rPr>
        <w:t xml:space="preserve">based </w:t>
      </w:r>
      <w:r w:rsidR="0010522B" w:rsidRPr="00994DC2">
        <w:rPr>
          <w:rFonts w:ascii="Times New Roman" w:eastAsia="Times New Roman" w:hAnsi="Times New Roman"/>
          <w:lang w:eastAsia="en-GB"/>
        </w:rPr>
        <w:t>equation analyses is that structure changes from strategic behaviour and tracing of causal links are almost impossible to do.</w:t>
      </w:r>
      <w:r w:rsidR="002130A4">
        <w:rPr>
          <w:rFonts w:ascii="Times New Roman" w:eastAsia="Times New Roman" w:hAnsi="Times New Roman"/>
          <w:lang w:eastAsia="en-GB"/>
        </w:rPr>
        <w:t xml:space="preserve">  </w:t>
      </w:r>
      <w:r w:rsidR="00DD20AA" w:rsidRPr="00994DC2">
        <w:rPr>
          <w:rFonts w:ascii="Times New Roman" w:eastAsia="Times New Roman" w:hAnsi="Times New Roman"/>
          <w:lang w:eastAsia="en-GB"/>
        </w:rPr>
        <w:t xml:space="preserve">Finally, we aim to represent </w:t>
      </w:r>
      <w:r w:rsidR="00AF113B" w:rsidRPr="00994DC2">
        <w:rPr>
          <w:rFonts w:ascii="Times New Roman" w:eastAsia="Times New Roman" w:hAnsi="Times New Roman"/>
          <w:lang w:eastAsia="en-GB"/>
        </w:rPr>
        <w:t xml:space="preserve">CDS </w:t>
      </w:r>
      <w:r w:rsidR="00DD20AA" w:rsidRPr="00994DC2">
        <w:rPr>
          <w:rFonts w:ascii="Times New Roman" w:eastAsia="Times New Roman" w:hAnsi="Times New Roman"/>
          <w:lang w:eastAsia="en-GB"/>
        </w:rPr>
        <w:t xml:space="preserve">financial obligations </w:t>
      </w:r>
      <w:r w:rsidR="007D35B0">
        <w:rPr>
          <w:rFonts w:ascii="Times New Roman" w:eastAsia="Times New Roman" w:hAnsi="Times New Roman"/>
          <w:lang w:eastAsia="en-GB"/>
        </w:rPr>
        <w:t xml:space="preserve">of the US banks </w:t>
      </w:r>
      <w:r w:rsidR="00DD20AA" w:rsidRPr="00994DC2">
        <w:rPr>
          <w:rFonts w:ascii="Times New Roman" w:eastAsia="Times New Roman" w:hAnsi="Times New Roman"/>
          <w:lang w:eastAsia="en-GB"/>
        </w:rPr>
        <w:t>in a financial network</w:t>
      </w:r>
      <w:r w:rsidR="00AF113B" w:rsidRPr="00994DC2">
        <w:rPr>
          <w:rFonts w:ascii="Times New Roman" w:eastAsia="Times New Roman" w:hAnsi="Times New Roman"/>
          <w:lang w:eastAsia="en-GB"/>
        </w:rPr>
        <w:t xml:space="preserve"> format </w:t>
      </w:r>
      <w:r w:rsidR="00DD20AA" w:rsidRPr="00994DC2">
        <w:rPr>
          <w:rFonts w:ascii="Times New Roman" w:eastAsia="Times New Roman" w:hAnsi="Times New Roman"/>
          <w:lang w:eastAsia="en-GB"/>
        </w:rPr>
        <w:t>to identify</w:t>
      </w:r>
      <w:r w:rsidR="00AF113B" w:rsidRPr="00994DC2">
        <w:rPr>
          <w:rFonts w:ascii="Times New Roman" w:eastAsia="Times New Roman" w:hAnsi="Times New Roman"/>
          <w:lang w:eastAsia="en-GB"/>
        </w:rPr>
        <w:t xml:space="preserve"> systemic risk consequences </w:t>
      </w:r>
      <w:r w:rsidR="007D35B0">
        <w:rPr>
          <w:rFonts w:ascii="Times New Roman" w:eastAsia="Times New Roman" w:hAnsi="Times New Roman"/>
          <w:lang w:eastAsia="en-GB"/>
        </w:rPr>
        <w:t xml:space="preserve">of topological structures showing concentration of </w:t>
      </w:r>
      <w:r w:rsidR="008D0875">
        <w:rPr>
          <w:rFonts w:ascii="Times New Roman" w:eastAsia="Times New Roman" w:hAnsi="Times New Roman"/>
          <w:lang w:eastAsia="en-GB"/>
        </w:rPr>
        <w:t xml:space="preserve">interaction between </w:t>
      </w:r>
      <w:r w:rsidR="007D35B0">
        <w:rPr>
          <w:rFonts w:ascii="Times New Roman" w:eastAsia="Times New Roman" w:hAnsi="Times New Roman"/>
          <w:lang w:eastAsia="en-GB"/>
        </w:rPr>
        <w:t>a few highly interconnected banks</w:t>
      </w:r>
      <w:r w:rsidR="00782108" w:rsidRPr="00994DC2">
        <w:rPr>
          <w:rFonts w:ascii="Times New Roman" w:eastAsia="Times New Roman" w:hAnsi="Times New Roman"/>
          <w:lang w:eastAsia="en-GB"/>
        </w:rPr>
        <w:t xml:space="preserve">. </w:t>
      </w:r>
      <w:r w:rsidR="00AF113B" w:rsidRPr="00994DC2">
        <w:rPr>
          <w:rFonts w:ascii="Times New Roman" w:eastAsia="Times New Roman" w:hAnsi="Times New Roman"/>
          <w:lang w:eastAsia="en-GB"/>
        </w:rPr>
        <w:t xml:space="preserve">  </w:t>
      </w:r>
      <w:r w:rsidR="00DD20AA" w:rsidRPr="00994DC2">
        <w:rPr>
          <w:rFonts w:ascii="Times New Roman" w:eastAsia="Times New Roman" w:hAnsi="Times New Roman"/>
          <w:lang w:eastAsia="en-GB"/>
        </w:rPr>
        <w:t xml:space="preserve"> </w:t>
      </w:r>
    </w:p>
    <w:p w:rsidR="00E26EB7" w:rsidRPr="00994DC2" w:rsidRDefault="00B560FC" w:rsidP="00C5661E">
      <w:pPr>
        <w:spacing w:line="360" w:lineRule="auto"/>
        <w:rPr>
          <w:rFonts w:ascii="Times New Roman" w:hAnsi="Times New Roman"/>
        </w:rPr>
      </w:pPr>
      <w:r>
        <w:rPr>
          <w:rFonts w:ascii="Times New Roman" w:hAnsi="Times New Roman"/>
        </w:rPr>
        <w:t>T</w:t>
      </w:r>
      <w:r w:rsidR="00AF113B" w:rsidRPr="00994DC2">
        <w:rPr>
          <w:rFonts w:ascii="Times New Roman" w:hAnsi="Times New Roman"/>
        </w:rPr>
        <w:t xml:space="preserve">o our best knowledge </w:t>
      </w:r>
      <w:r w:rsidR="00782108" w:rsidRPr="00994DC2">
        <w:rPr>
          <w:rFonts w:ascii="Times New Roman" w:hAnsi="Times New Roman"/>
        </w:rPr>
        <w:t>t</w:t>
      </w:r>
      <w:r w:rsidR="00AF113B" w:rsidRPr="00994DC2">
        <w:rPr>
          <w:rFonts w:ascii="Times New Roman" w:hAnsi="Times New Roman"/>
        </w:rPr>
        <w:t xml:space="preserve">he IBM MIDAS </w:t>
      </w:r>
      <w:r w:rsidR="00782108" w:rsidRPr="00994DC2">
        <w:rPr>
          <w:rFonts w:ascii="Times New Roman" w:hAnsi="Times New Roman"/>
        </w:rPr>
        <w:t>project</w:t>
      </w:r>
      <w:r w:rsidR="00A226A7">
        <w:rPr>
          <w:rFonts w:ascii="Times New Roman" w:hAnsi="Times New Roman"/>
        </w:rPr>
        <w:t xml:space="preserve"> (see, </w:t>
      </w:r>
      <w:proofErr w:type="spellStart"/>
      <w:r w:rsidR="00A226A7">
        <w:rPr>
          <w:rFonts w:ascii="Times New Roman" w:hAnsi="Times New Roman"/>
        </w:rPr>
        <w:t>Balakrishnan</w:t>
      </w:r>
      <w:proofErr w:type="spellEnd"/>
      <w:r w:rsidR="00A226A7">
        <w:rPr>
          <w:rFonts w:ascii="Times New Roman" w:hAnsi="Times New Roman"/>
        </w:rPr>
        <w:t xml:space="preserve"> et. al. 2010) and</w:t>
      </w:r>
      <w:r w:rsidR="009D6BE8">
        <w:rPr>
          <w:rFonts w:ascii="Times New Roman" w:hAnsi="Times New Roman"/>
        </w:rPr>
        <w:t xml:space="preserve"> </w:t>
      </w:r>
      <w:r w:rsidR="00A226A7" w:rsidRPr="00113602">
        <w:rPr>
          <w:rFonts w:ascii="Times New Roman" w:hAnsi="Times New Roman"/>
        </w:rPr>
        <w:t xml:space="preserve">the EC grant FP6 -034270-2  project of </w:t>
      </w:r>
      <w:r w:rsidR="00A226A7" w:rsidRPr="00113602">
        <w:rPr>
          <w:rFonts w:ascii="Times New Roman" w:hAnsi="Times New Roman"/>
          <w:iCs/>
        </w:rPr>
        <w:t xml:space="preserve">Markose and Giansante (see </w:t>
      </w:r>
      <w:r w:rsidR="00A226A7" w:rsidRPr="00113602">
        <w:rPr>
          <w:rFonts w:ascii="Times New Roman" w:hAnsi="Times New Roman"/>
          <w:i/>
          <w:iCs/>
        </w:rPr>
        <w:t>ACEfinmod</w:t>
      </w:r>
      <w:r w:rsidR="00A226A7" w:rsidRPr="00113602">
        <w:rPr>
          <w:rFonts w:ascii="Times New Roman" w:hAnsi="Times New Roman"/>
          <w:iCs/>
        </w:rPr>
        <w:t>.com) are the only known software technologies being developed f</w:t>
      </w:r>
      <w:r w:rsidR="00A226A7" w:rsidRPr="00113602">
        <w:rPr>
          <w:rFonts w:ascii="Times New Roman" w:hAnsi="Times New Roman"/>
        </w:rPr>
        <w:t xml:space="preserve">or (US centric) large scale </w:t>
      </w:r>
      <w:r w:rsidR="00A226A7">
        <w:rPr>
          <w:rFonts w:ascii="Times New Roman" w:hAnsi="Times New Roman"/>
        </w:rPr>
        <w:t xml:space="preserve">firm level </w:t>
      </w:r>
      <w:r w:rsidR="00A226A7" w:rsidRPr="00113602">
        <w:rPr>
          <w:rFonts w:ascii="Times New Roman" w:hAnsi="Times New Roman"/>
        </w:rPr>
        <w:t xml:space="preserve">financial database driven models for systemic risk analysis. </w:t>
      </w:r>
      <w:r w:rsidR="009239C4">
        <w:rPr>
          <w:rFonts w:ascii="Times New Roman" w:hAnsi="Times New Roman"/>
        </w:rPr>
        <w:t xml:space="preserve"> </w:t>
      </w:r>
      <w:r w:rsidR="00E26EB7" w:rsidRPr="00994DC2">
        <w:rPr>
          <w:rFonts w:ascii="Times New Roman" w:hAnsi="Times New Roman"/>
        </w:rPr>
        <w:t>The advantages of agent based</w:t>
      </w:r>
      <w:r w:rsidR="00B508B5" w:rsidRPr="00994DC2">
        <w:rPr>
          <w:rFonts w:ascii="Times New Roman" w:hAnsi="Times New Roman"/>
        </w:rPr>
        <w:t xml:space="preserve"> financial</w:t>
      </w:r>
      <w:r w:rsidR="00E26EB7" w:rsidRPr="00994DC2">
        <w:rPr>
          <w:rFonts w:ascii="Times New Roman" w:hAnsi="Times New Roman"/>
        </w:rPr>
        <w:t xml:space="preserve"> models where agents </w:t>
      </w:r>
      <w:r w:rsidR="00B508B5" w:rsidRPr="00994DC2">
        <w:rPr>
          <w:rFonts w:ascii="Times New Roman" w:hAnsi="Times New Roman"/>
        </w:rPr>
        <w:t xml:space="preserve">and their interconnections </w:t>
      </w:r>
      <w:r w:rsidR="00E26EB7" w:rsidRPr="00994DC2">
        <w:rPr>
          <w:rFonts w:ascii="Times New Roman" w:hAnsi="Times New Roman"/>
        </w:rPr>
        <w:t xml:space="preserve">are </w:t>
      </w:r>
      <w:r w:rsidR="007D35B0">
        <w:rPr>
          <w:rFonts w:ascii="Times New Roman" w:hAnsi="Times New Roman"/>
        </w:rPr>
        <w:t>empirically</w:t>
      </w:r>
      <w:r w:rsidR="00404A45">
        <w:rPr>
          <w:rFonts w:ascii="Times New Roman" w:hAnsi="Times New Roman"/>
        </w:rPr>
        <w:t xml:space="preserve"> determined</w:t>
      </w:r>
      <w:r w:rsidR="007D35B0">
        <w:rPr>
          <w:rFonts w:ascii="Times New Roman" w:hAnsi="Times New Roman"/>
        </w:rPr>
        <w:t xml:space="preserve"> </w:t>
      </w:r>
      <w:r w:rsidR="00E26EB7" w:rsidRPr="00994DC2">
        <w:rPr>
          <w:rFonts w:ascii="Times New Roman" w:hAnsi="Times New Roman"/>
        </w:rPr>
        <w:t xml:space="preserve"> by data bases is that they can give structural snap shots of the situation without needing large time series</w:t>
      </w:r>
      <w:r w:rsidR="00502712" w:rsidRPr="00994DC2">
        <w:rPr>
          <w:rFonts w:ascii="Times New Roman" w:hAnsi="Times New Roman"/>
        </w:rPr>
        <w:t xml:space="preserve"> that statistical and econometric models need</w:t>
      </w:r>
      <w:r w:rsidR="00E26EB7" w:rsidRPr="00994DC2">
        <w:rPr>
          <w:rFonts w:ascii="Times New Roman" w:hAnsi="Times New Roman"/>
        </w:rPr>
        <w:t xml:space="preserve">.  </w:t>
      </w:r>
      <w:r w:rsidR="00C65E02">
        <w:rPr>
          <w:rFonts w:ascii="Times New Roman" w:hAnsi="Times New Roman"/>
        </w:rPr>
        <w:t>In recent assessments of network analysis for systemic risk</w:t>
      </w:r>
      <w:r w:rsidR="00B664C7">
        <w:rPr>
          <w:rFonts w:ascii="Times New Roman" w:hAnsi="Times New Roman"/>
        </w:rPr>
        <w:t>,</w:t>
      </w:r>
      <w:r w:rsidR="00C65E02">
        <w:rPr>
          <w:rStyle w:val="FootnoteReference"/>
          <w:rFonts w:ascii="Times New Roman" w:hAnsi="Times New Roman"/>
        </w:rPr>
        <w:footnoteReference w:id="7"/>
      </w:r>
      <w:r w:rsidR="00F30AB6">
        <w:rPr>
          <w:rFonts w:ascii="Times New Roman" w:hAnsi="Times New Roman"/>
        </w:rPr>
        <w:t xml:space="preserve"> this framework has been </w:t>
      </w:r>
      <w:r w:rsidR="003C5F78">
        <w:rPr>
          <w:rFonts w:ascii="Times New Roman" w:hAnsi="Times New Roman"/>
        </w:rPr>
        <w:t>found</w:t>
      </w:r>
      <w:r w:rsidR="00DC3BED">
        <w:rPr>
          <w:rFonts w:ascii="Times New Roman" w:hAnsi="Times New Roman"/>
        </w:rPr>
        <w:t xml:space="preserve"> to be useful in </w:t>
      </w:r>
      <w:proofErr w:type="spellStart"/>
      <w:r w:rsidR="00DC3BED">
        <w:rPr>
          <w:rFonts w:ascii="Times New Roman" w:hAnsi="Times New Roman"/>
        </w:rPr>
        <w:t>operationalizing</w:t>
      </w:r>
      <w:proofErr w:type="spellEnd"/>
      <w:r w:rsidR="00F30AB6">
        <w:rPr>
          <w:rFonts w:ascii="Times New Roman" w:hAnsi="Times New Roman"/>
        </w:rPr>
        <w:t xml:space="preserve"> </w:t>
      </w:r>
      <w:r w:rsidR="003C5F78">
        <w:rPr>
          <w:rFonts w:ascii="Times New Roman" w:hAnsi="Times New Roman"/>
        </w:rPr>
        <w:t>the</w:t>
      </w:r>
      <w:r w:rsidR="00F86614">
        <w:rPr>
          <w:rFonts w:ascii="Times New Roman" w:hAnsi="Times New Roman"/>
        </w:rPr>
        <w:t xml:space="preserve"> study on the</w:t>
      </w:r>
      <w:r w:rsidR="003C5F78">
        <w:rPr>
          <w:rFonts w:ascii="Times New Roman" w:hAnsi="Times New Roman"/>
        </w:rPr>
        <w:t xml:space="preserve"> propagation of</w:t>
      </w:r>
      <w:r w:rsidR="00F30AB6">
        <w:rPr>
          <w:rFonts w:ascii="Times New Roman" w:hAnsi="Times New Roman"/>
        </w:rPr>
        <w:t xml:space="preserve"> financial contagion as a result of failure of counterparties</w:t>
      </w:r>
      <w:proofErr w:type="gramStart"/>
      <w:r w:rsidR="00DC5897">
        <w:rPr>
          <w:rFonts w:ascii="Times New Roman" w:hAnsi="Times New Roman"/>
        </w:rPr>
        <w:t>,</w:t>
      </w:r>
      <w:r w:rsidR="00D067AE">
        <w:rPr>
          <w:rFonts w:ascii="Times New Roman" w:hAnsi="Times New Roman"/>
        </w:rPr>
        <w:t xml:space="preserve"> </w:t>
      </w:r>
      <w:r w:rsidR="00816637">
        <w:rPr>
          <w:rFonts w:ascii="Times New Roman" w:hAnsi="Times New Roman"/>
        </w:rPr>
        <w:t xml:space="preserve"> Haldane</w:t>
      </w:r>
      <w:proofErr w:type="gramEnd"/>
      <w:r w:rsidR="00D067AE">
        <w:rPr>
          <w:rFonts w:ascii="Times New Roman" w:hAnsi="Times New Roman"/>
        </w:rPr>
        <w:t xml:space="preserve"> </w:t>
      </w:r>
      <w:r w:rsidR="00DC5897">
        <w:rPr>
          <w:rFonts w:ascii="Times New Roman" w:hAnsi="Times New Roman"/>
        </w:rPr>
        <w:t>(</w:t>
      </w:r>
      <w:r w:rsidR="00D067AE">
        <w:rPr>
          <w:rFonts w:ascii="Times New Roman" w:hAnsi="Times New Roman"/>
        </w:rPr>
        <w:t>2009).  However, t</w:t>
      </w:r>
      <w:r w:rsidR="005B7573">
        <w:rPr>
          <w:rFonts w:ascii="Times New Roman" w:hAnsi="Times New Roman"/>
        </w:rPr>
        <w:t xml:space="preserve">he pre 2007 financial networks literature </w:t>
      </w:r>
      <w:r w:rsidR="00AC02E3">
        <w:rPr>
          <w:rFonts w:ascii="Times New Roman" w:hAnsi="Times New Roman"/>
        </w:rPr>
        <w:t xml:space="preserve">has yielded mixed results. </w:t>
      </w:r>
      <w:r w:rsidR="00D067AE">
        <w:rPr>
          <w:rFonts w:ascii="Times New Roman" w:hAnsi="Times New Roman"/>
        </w:rPr>
        <w:t xml:space="preserve"> </w:t>
      </w:r>
      <w:r w:rsidR="00AC02E3" w:rsidRPr="00AC02E3">
        <w:rPr>
          <w:rFonts w:ascii="Times New Roman" w:hAnsi="Times New Roman"/>
        </w:rPr>
        <w:t xml:space="preserve">Firstly there were few studies </w:t>
      </w:r>
      <w:r w:rsidR="00AC02E3" w:rsidRPr="00AC02E3">
        <w:rPr>
          <w:rFonts w:ascii="Times New Roman" w:hAnsi="Times New Roman"/>
          <w:bCs/>
          <w:lang w:val="en-US"/>
        </w:rPr>
        <w:t xml:space="preserve">on financial networks based on empirical bilateral data between counterparties that could establish ‘stylized’ facts on network structures for the different classes of financial products ranging from contingent claims and derivatives, credit related interbank exposures and large value payment and settlement systems.  Where bilateral data on financial exposures was not available, both </w:t>
      </w:r>
      <w:r w:rsidR="00AC02E3">
        <w:rPr>
          <w:rFonts w:ascii="Times New Roman" w:hAnsi="Times New Roman"/>
          <w:bCs/>
          <w:lang w:val="en-US"/>
        </w:rPr>
        <w:t>simulated</w:t>
      </w:r>
      <w:r w:rsidR="00AC02E3" w:rsidRPr="00AC02E3">
        <w:rPr>
          <w:rFonts w:ascii="Times New Roman" w:hAnsi="Times New Roman"/>
          <w:bCs/>
          <w:lang w:val="en-US"/>
        </w:rPr>
        <w:t xml:space="preserve"> and theoretical models assumed network structures to be </w:t>
      </w:r>
      <w:proofErr w:type="gramStart"/>
      <w:r w:rsidR="00AC02E3" w:rsidRPr="00AC02E3">
        <w:rPr>
          <w:rFonts w:ascii="Times New Roman" w:hAnsi="Times New Roman"/>
          <w:bCs/>
          <w:lang w:val="en-US"/>
        </w:rPr>
        <w:t>either uncorrelated and</w:t>
      </w:r>
      <w:proofErr w:type="gramEnd"/>
      <w:r w:rsidR="00AC02E3" w:rsidRPr="00AC02E3">
        <w:rPr>
          <w:rFonts w:ascii="Times New Roman" w:hAnsi="Times New Roman"/>
          <w:bCs/>
          <w:lang w:val="en-US"/>
        </w:rPr>
        <w:t xml:space="preserve"> random</w:t>
      </w:r>
      <w:r w:rsidR="00DC5897">
        <w:rPr>
          <w:rFonts w:ascii="Times New Roman" w:hAnsi="Times New Roman"/>
          <w:bCs/>
          <w:lang w:val="en-US"/>
        </w:rPr>
        <w:t>,</w:t>
      </w:r>
      <w:r w:rsidR="00AC02E3" w:rsidRPr="00AC02E3">
        <w:rPr>
          <w:rFonts w:ascii="Times New Roman" w:hAnsi="Times New Roman"/>
          <w:bCs/>
          <w:lang w:val="en-US"/>
        </w:rPr>
        <w:t xml:space="preserve"> </w:t>
      </w:r>
      <w:proofErr w:type="spellStart"/>
      <w:r w:rsidR="00AC02E3" w:rsidRPr="00AC02E3">
        <w:rPr>
          <w:rFonts w:ascii="Times New Roman" w:hAnsi="Times New Roman"/>
          <w:bCs/>
          <w:lang w:val="en-US"/>
        </w:rPr>
        <w:t>Nier</w:t>
      </w:r>
      <w:proofErr w:type="spellEnd"/>
      <w:r w:rsidR="00AC02E3" w:rsidRPr="00AC02E3">
        <w:rPr>
          <w:rFonts w:ascii="Times New Roman" w:hAnsi="Times New Roman"/>
          <w:bCs/>
          <w:lang w:val="en-US"/>
        </w:rPr>
        <w:t xml:space="preserve"> </w:t>
      </w:r>
      <w:r w:rsidR="00AC02E3" w:rsidRPr="00AC02E3">
        <w:rPr>
          <w:rFonts w:ascii="Times New Roman" w:hAnsi="Times New Roman"/>
          <w:bCs/>
          <w:i/>
          <w:lang w:val="en-US"/>
        </w:rPr>
        <w:t xml:space="preserve">et. </w:t>
      </w:r>
      <w:proofErr w:type="gramStart"/>
      <w:r w:rsidR="00AC02E3" w:rsidRPr="00AC02E3">
        <w:rPr>
          <w:rFonts w:ascii="Times New Roman" w:hAnsi="Times New Roman"/>
          <w:bCs/>
          <w:i/>
          <w:lang w:val="en-US"/>
        </w:rPr>
        <w:t xml:space="preserve">al. </w:t>
      </w:r>
      <w:r w:rsidR="00DC5897">
        <w:rPr>
          <w:rFonts w:ascii="Times New Roman" w:hAnsi="Times New Roman"/>
          <w:bCs/>
          <w:lang w:val="en-US"/>
        </w:rPr>
        <w:t>(</w:t>
      </w:r>
      <w:r w:rsidR="00AC02E3" w:rsidRPr="00AC02E3">
        <w:rPr>
          <w:rFonts w:ascii="Times New Roman" w:hAnsi="Times New Roman"/>
          <w:bCs/>
          <w:lang w:val="en-US"/>
        </w:rPr>
        <w:t>2007)) or complete networks (see, Upper and Worms</w:t>
      </w:r>
      <w:r w:rsidR="00687AA3">
        <w:rPr>
          <w:rFonts w:ascii="Times New Roman" w:hAnsi="Times New Roman"/>
          <w:bCs/>
          <w:lang w:val="en-US"/>
        </w:rPr>
        <w:t>,</w:t>
      </w:r>
      <w:r w:rsidR="00AC02E3" w:rsidRPr="00AC02E3">
        <w:rPr>
          <w:rFonts w:ascii="Times New Roman" w:hAnsi="Times New Roman"/>
          <w:bCs/>
          <w:lang w:val="en-US"/>
        </w:rPr>
        <w:t xml:space="preserve"> 2004</w:t>
      </w:r>
      <w:r w:rsidR="00DC5897">
        <w:rPr>
          <w:rFonts w:ascii="Times New Roman" w:hAnsi="Times New Roman"/>
          <w:bCs/>
          <w:lang w:val="en-US"/>
        </w:rPr>
        <w:t>, Upper, 2011</w:t>
      </w:r>
      <w:r w:rsidR="00AC02E3" w:rsidRPr="00AC02E3">
        <w:rPr>
          <w:rFonts w:ascii="Times New Roman" w:hAnsi="Times New Roman"/>
          <w:bCs/>
          <w:lang w:val="en-US"/>
        </w:rPr>
        <w:t>).</w:t>
      </w:r>
      <w:proofErr w:type="gramEnd"/>
      <w:r w:rsidR="00AC02E3" w:rsidRPr="00AC02E3">
        <w:rPr>
          <w:rFonts w:ascii="Times New Roman" w:hAnsi="Times New Roman"/>
          <w:bCs/>
          <w:lang w:val="en-US"/>
        </w:rPr>
        <w:t xml:space="preserve">  These approaches crucially do not have the </w:t>
      </w:r>
      <w:r w:rsidR="00C5661E" w:rsidRPr="00994DC2">
        <w:rPr>
          <w:rFonts w:ascii="Times New Roman" w:hAnsi="Times New Roman"/>
          <w:i/>
        </w:rPr>
        <w:t xml:space="preserve">too interconnected to fail </w:t>
      </w:r>
      <w:r w:rsidR="00AC02E3" w:rsidRPr="00AC02E3">
        <w:rPr>
          <w:rFonts w:ascii="Times New Roman" w:hAnsi="Times New Roman"/>
        </w:rPr>
        <w:t>characteristics</w:t>
      </w:r>
      <w:r w:rsidR="00C5661E">
        <w:rPr>
          <w:rFonts w:ascii="Times New Roman" w:hAnsi="Times New Roman"/>
        </w:rPr>
        <w:t xml:space="preserve"> </w:t>
      </w:r>
      <w:r w:rsidR="00AC02E3" w:rsidRPr="00AC02E3">
        <w:rPr>
          <w:rFonts w:ascii="Times New Roman" w:hAnsi="Times New Roman"/>
        </w:rPr>
        <w:t xml:space="preserve">which </w:t>
      </w:r>
      <w:r w:rsidR="00C5661E">
        <w:rPr>
          <w:rFonts w:ascii="Times New Roman" w:hAnsi="Times New Roman"/>
        </w:rPr>
        <w:t xml:space="preserve">imply </w:t>
      </w:r>
      <w:r w:rsidR="00AC02E3" w:rsidRPr="00AC02E3">
        <w:rPr>
          <w:rFonts w:ascii="Times New Roman" w:hAnsi="Times New Roman"/>
        </w:rPr>
        <w:t xml:space="preserve">a highly sparse core-periphery network structure.  Only Craig and von </w:t>
      </w:r>
      <w:r w:rsidR="00AC02E3" w:rsidRPr="00AC02E3">
        <w:rPr>
          <w:rFonts w:ascii="Times New Roman" w:hAnsi="Times New Roman"/>
        </w:rPr>
        <w:lastRenderedPageBreak/>
        <w:t xml:space="preserve">Peter (2010) and Fricke and </w:t>
      </w:r>
      <w:proofErr w:type="spellStart"/>
      <w:r w:rsidR="00AC02E3" w:rsidRPr="00AC02E3">
        <w:rPr>
          <w:rFonts w:ascii="Times New Roman" w:hAnsi="Times New Roman"/>
        </w:rPr>
        <w:t>Lux</w:t>
      </w:r>
      <w:proofErr w:type="spellEnd"/>
      <w:r w:rsidR="00AC02E3" w:rsidRPr="00AC02E3">
        <w:rPr>
          <w:rFonts w:ascii="Times New Roman" w:hAnsi="Times New Roman"/>
        </w:rPr>
        <w:t xml:space="preserve"> (2012) who use empirical bilateral interbank data have highlighted the core-periphery network structure </w:t>
      </w:r>
      <w:r w:rsidR="00D067AE">
        <w:rPr>
          <w:rFonts w:ascii="Times New Roman" w:hAnsi="Times New Roman"/>
        </w:rPr>
        <w:t>in financial systems</w:t>
      </w:r>
      <w:r w:rsidR="00583EC8">
        <w:rPr>
          <w:rFonts w:ascii="Times New Roman" w:hAnsi="Times New Roman"/>
        </w:rPr>
        <w:t xml:space="preserve">.  Markose </w:t>
      </w:r>
      <w:proofErr w:type="gramStart"/>
      <w:r w:rsidR="00583EC8">
        <w:rPr>
          <w:rFonts w:ascii="Times New Roman" w:hAnsi="Times New Roman"/>
          <w:i/>
        </w:rPr>
        <w:t>et</w:t>
      </w:r>
      <w:proofErr w:type="gramEnd"/>
      <w:r w:rsidR="00583EC8">
        <w:rPr>
          <w:rFonts w:ascii="Times New Roman" w:hAnsi="Times New Roman"/>
          <w:i/>
        </w:rPr>
        <w:t xml:space="preserve">. al. </w:t>
      </w:r>
      <w:r w:rsidR="00583EC8">
        <w:rPr>
          <w:rFonts w:ascii="Times New Roman" w:hAnsi="Times New Roman"/>
        </w:rPr>
        <w:t>(2010) were among the first to show how such structures propagate contagion in a radically different way to random networks. Thus, w</w:t>
      </w:r>
      <w:proofErr w:type="spellStart"/>
      <w:r w:rsidR="00AC02E3" w:rsidRPr="00AC02E3">
        <w:rPr>
          <w:rFonts w:ascii="Times New Roman" w:hAnsi="Times New Roman"/>
          <w:bCs/>
          <w:lang w:val="en-US"/>
        </w:rPr>
        <w:t>hile</w:t>
      </w:r>
      <w:proofErr w:type="spellEnd"/>
      <w:r w:rsidR="00AC02E3" w:rsidRPr="00AC02E3">
        <w:rPr>
          <w:rFonts w:ascii="Times New Roman" w:hAnsi="Times New Roman"/>
          <w:bCs/>
          <w:lang w:val="en-US"/>
        </w:rPr>
        <w:t xml:space="preserve"> the stability of financial networks has been usually investigated using the classic </w:t>
      </w:r>
      <w:proofErr w:type="spellStart"/>
      <w:r w:rsidR="00AC02E3" w:rsidRPr="00AC02E3">
        <w:rPr>
          <w:rFonts w:ascii="Times New Roman" w:hAnsi="Times New Roman"/>
          <w:bCs/>
          <w:lang w:val="en-US"/>
        </w:rPr>
        <w:t>Furfine</w:t>
      </w:r>
      <w:proofErr w:type="spellEnd"/>
      <w:r w:rsidR="00AC02E3" w:rsidRPr="00AC02E3">
        <w:rPr>
          <w:rFonts w:ascii="Times New Roman" w:hAnsi="Times New Roman"/>
          <w:bCs/>
          <w:lang w:val="en-US"/>
        </w:rPr>
        <w:t xml:space="preserve"> (2003) algorithm, </w:t>
      </w:r>
      <w:r w:rsidR="00D067AE">
        <w:rPr>
          <w:rFonts w:ascii="Times New Roman" w:hAnsi="Times New Roman"/>
          <w:bCs/>
          <w:lang w:val="en-US"/>
        </w:rPr>
        <w:t xml:space="preserve">it is only recently that economists have renewed efforts to understand and quantify how </w:t>
      </w:r>
      <w:r w:rsidR="00AC02E3" w:rsidRPr="00AC02E3">
        <w:rPr>
          <w:rFonts w:ascii="Times New Roman" w:hAnsi="Times New Roman"/>
          <w:bCs/>
          <w:lang w:val="en-US"/>
        </w:rPr>
        <w:t xml:space="preserve">contagion propagates in highly tiered and clustered </w:t>
      </w:r>
      <w:r w:rsidR="009C0F33">
        <w:rPr>
          <w:rFonts w:ascii="Times New Roman" w:hAnsi="Times New Roman"/>
          <w:bCs/>
          <w:lang w:val="en-US"/>
        </w:rPr>
        <w:t xml:space="preserve">financial </w:t>
      </w:r>
      <w:r w:rsidR="00AC02E3" w:rsidRPr="00AC02E3">
        <w:rPr>
          <w:rFonts w:ascii="Times New Roman" w:hAnsi="Times New Roman"/>
          <w:bCs/>
          <w:lang w:val="en-US"/>
        </w:rPr>
        <w:t>networks</w:t>
      </w:r>
      <w:r w:rsidR="007116FB">
        <w:rPr>
          <w:rFonts w:ascii="Times New Roman" w:hAnsi="Times New Roman"/>
          <w:bCs/>
          <w:lang w:val="en-US"/>
        </w:rPr>
        <w:t xml:space="preserve"> which imply sparse matrices</w:t>
      </w:r>
      <w:r w:rsidR="00583EC8">
        <w:rPr>
          <w:rFonts w:ascii="Times New Roman" w:hAnsi="Times New Roman"/>
          <w:bCs/>
          <w:lang w:val="en-US"/>
        </w:rPr>
        <w:t xml:space="preserve"> with heterogeneity in connectivity and exposures that can be modeled by power law distribution </w:t>
      </w:r>
      <w:r w:rsidR="007116FB">
        <w:rPr>
          <w:rFonts w:ascii="Times New Roman" w:hAnsi="Times New Roman"/>
          <w:bCs/>
          <w:lang w:val="en-US"/>
        </w:rPr>
        <w:t xml:space="preserve">(see, </w:t>
      </w:r>
      <w:proofErr w:type="spellStart"/>
      <w:r w:rsidR="007116FB">
        <w:rPr>
          <w:rFonts w:ascii="Times New Roman" w:hAnsi="Times New Roman"/>
          <w:bCs/>
          <w:lang w:val="en-US"/>
        </w:rPr>
        <w:t>Mous</w:t>
      </w:r>
      <w:r w:rsidR="00CB47E6">
        <w:rPr>
          <w:rFonts w:ascii="Times New Roman" w:hAnsi="Times New Roman"/>
          <w:bCs/>
          <w:lang w:val="en-US"/>
        </w:rPr>
        <w:t>sa</w:t>
      </w:r>
      <w:proofErr w:type="spellEnd"/>
      <w:r w:rsidR="00CB47E6">
        <w:rPr>
          <w:rFonts w:ascii="Times New Roman" w:hAnsi="Times New Roman"/>
          <w:bCs/>
          <w:lang w:val="en-US"/>
        </w:rPr>
        <w:t>, 2011</w:t>
      </w:r>
      <w:r w:rsidR="00DC5897">
        <w:rPr>
          <w:rFonts w:ascii="Times New Roman" w:hAnsi="Times New Roman"/>
          <w:bCs/>
          <w:lang w:val="en-US"/>
        </w:rPr>
        <w:t>)</w:t>
      </w:r>
      <w:r w:rsidR="007116FB">
        <w:rPr>
          <w:rFonts w:ascii="Times New Roman" w:hAnsi="Times New Roman"/>
          <w:bCs/>
          <w:lang w:val="en-US"/>
        </w:rPr>
        <w:t>.</w:t>
      </w:r>
      <w:r w:rsidR="00AC02E3" w:rsidRPr="00AC02E3">
        <w:rPr>
          <w:rFonts w:ascii="Times New Roman" w:hAnsi="Times New Roman"/>
          <w:bCs/>
          <w:lang w:val="en-US"/>
        </w:rPr>
        <w:t xml:space="preserve">  </w:t>
      </w:r>
      <w:r w:rsidR="00C5661E">
        <w:rPr>
          <w:rFonts w:ascii="Times New Roman" w:hAnsi="Times New Roman"/>
          <w:bCs/>
          <w:lang w:val="en-US"/>
        </w:rPr>
        <w:t>Finally,</w:t>
      </w:r>
      <w:r w:rsidR="00AC02E3" w:rsidRPr="0010363B">
        <w:rPr>
          <w:bCs/>
          <w:lang w:val="en-US"/>
        </w:rPr>
        <w:t xml:space="preserve"> </w:t>
      </w:r>
      <w:r w:rsidR="00C5661E">
        <w:rPr>
          <w:rFonts w:ascii="Times New Roman" w:hAnsi="Times New Roman"/>
        </w:rPr>
        <w:t>t</w:t>
      </w:r>
      <w:r w:rsidR="00F30AB6">
        <w:rPr>
          <w:rFonts w:ascii="Times New Roman" w:hAnsi="Times New Roman"/>
        </w:rPr>
        <w:t xml:space="preserve">he idea that nodes in the network which constitute financial intermediaries </w:t>
      </w:r>
      <w:r w:rsidR="004F73F3">
        <w:rPr>
          <w:rFonts w:ascii="Times New Roman" w:hAnsi="Times New Roman"/>
        </w:rPr>
        <w:t xml:space="preserve">and other financial actors </w:t>
      </w:r>
      <w:r w:rsidR="00F30AB6">
        <w:rPr>
          <w:rFonts w:ascii="Times New Roman" w:hAnsi="Times New Roman"/>
        </w:rPr>
        <w:t xml:space="preserve">are themselves intelligent ‘agents’ operating within constraints and incentives provided by the markets and regulations </w:t>
      </w:r>
      <w:r w:rsidR="009239C4">
        <w:rPr>
          <w:rFonts w:ascii="Times New Roman" w:hAnsi="Times New Roman"/>
        </w:rPr>
        <w:t>h</w:t>
      </w:r>
      <w:r w:rsidR="00F30AB6">
        <w:rPr>
          <w:rFonts w:ascii="Times New Roman" w:hAnsi="Times New Roman"/>
        </w:rPr>
        <w:t xml:space="preserve">as not </w:t>
      </w:r>
      <w:r w:rsidR="009239C4">
        <w:rPr>
          <w:rFonts w:ascii="Times New Roman" w:hAnsi="Times New Roman"/>
        </w:rPr>
        <w:t xml:space="preserve">been fully operationalized yet. </w:t>
      </w:r>
      <w:r w:rsidR="00B664C7">
        <w:rPr>
          <w:rFonts w:ascii="Times New Roman" w:hAnsi="Times New Roman"/>
        </w:rPr>
        <w:t xml:space="preserve"> Markose (2011) has </w:t>
      </w:r>
      <w:r w:rsidR="00231F81">
        <w:rPr>
          <w:rFonts w:ascii="Times New Roman" w:hAnsi="Times New Roman"/>
        </w:rPr>
        <w:t>referred to models that aim to digitally map the financial system from large firm level data bases as</w:t>
      </w:r>
      <w:r w:rsidR="00231F81" w:rsidRPr="00994DC2">
        <w:rPr>
          <w:rFonts w:ascii="Times New Roman" w:hAnsi="Times New Roman"/>
        </w:rPr>
        <w:t xml:space="preserve"> multi-agent </w:t>
      </w:r>
      <w:r w:rsidR="00231F81">
        <w:rPr>
          <w:rFonts w:ascii="Times New Roman" w:hAnsi="Times New Roman"/>
        </w:rPr>
        <w:t xml:space="preserve">financial network (MAFN) </w:t>
      </w:r>
      <w:r w:rsidR="00231F81" w:rsidRPr="00994DC2">
        <w:rPr>
          <w:rFonts w:ascii="Times New Roman" w:hAnsi="Times New Roman"/>
        </w:rPr>
        <w:t>model</w:t>
      </w:r>
      <w:r w:rsidR="00231F81">
        <w:rPr>
          <w:rFonts w:ascii="Times New Roman" w:hAnsi="Times New Roman"/>
        </w:rPr>
        <w:t>s.</w:t>
      </w:r>
      <w:r w:rsidR="00B664C7">
        <w:rPr>
          <w:rFonts w:ascii="Times New Roman" w:hAnsi="Times New Roman"/>
        </w:rPr>
        <w:t xml:space="preserve"> </w:t>
      </w:r>
      <w:r w:rsidR="005C0F25">
        <w:rPr>
          <w:rFonts w:ascii="Times New Roman" w:hAnsi="Times New Roman"/>
        </w:rPr>
        <w:t xml:space="preserve"> </w:t>
      </w:r>
      <w:r w:rsidR="00C5661E">
        <w:rPr>
          <w:rFonts w:ascii="Times New Roman" w:hAnsi="Times New Roman"/>
        </w:rPr>
        <w:br/>
      </w:r>
      <w:r w:rsidR="00C5661E">
        <w:rPr>
          <w:rFonts w:ascii="Times New Roman" w:hAnsi="Times New Roman"/>
        </w:rPr>
        <w:br/>
      </w:r>
      <w:r w:rsidR="00B664C7">
        <w:rPr>
          <w:rFonts w:ascii="Times New Roman" w:hAnsi="Times New Roman"/>
        </w:rPr>
        <w:t xml:space="preserve">This paper will focus </w:t>
      </w:r>
      <w:r w:rsidR="00DC3BED">
        <w:rPr>
          <w:rFonts w:ascii="Times New Roman" w:hAnsi="Times New Roman"/>
        </w:rPr>
        <w:t>extensively</w:t>
      </w:r>
      <w:r w:rsidR="00B664C7">
        <w:rPr>
          <w:rFonts w:ascii="Times New Roman" w:hAnsi="Times New Roman"/>
        </w:rPr>
        <w:t xml:space="preserve"> on th</w:t>
      </w:r>
      <w:r w:rsidR="00231F81">
        <w:rPr>
          <w:rFonts w:ascii="Times New Roman" w:hAnsi="Times New Roman"/>
        </w:rPr>
        <w:t>e decision problem confronting the US FDIC banks involved in both CDS and RMBS markets</w:t>
      </w:r>
      <w:r w:rsidR="009239C4">
        <w:rPr>
          <w:rFonts w:ascii="Times New Roman" w:hAnsi="Times New Roman"/>
        </w:rPr>
        <w:t xml:space="preserve"> in the 2006-7 </w:t>
      </w:r>
      <w:proofErr w:type="gramStart"/>
      <w:r w:rsidR="009239C4">
        <w:rPr>
          <w:rFonts w:ascii="Times New Roman" w:hAnsi="Times New Roman"/>
        </w:rPr>
        <w:t>period</w:t>
      </w:r>
      <w:proofErr w:type="gramEnd"/>
      <w:r w:rsidR="005C0F25">
        <w:rPr>
          <w:rFonts w:ascii="Times New Roman" w:hAnsi="Times New Roman"/>
        </w:rPr>
        <w:t>.</w:t>
      </w:r>
      <w:r w:rsidR="00231F81">
        <w:rPr>
          <w:rFonts w:ascii="Times New Roman" w:hAnsi="Times New Roman"/>
        </w:rPr>
        <w:t xml:space="preserve"> </w:t>
      </w:r>
      <w:r w:rsidR="005C0F25">
        <w:rPr>
          <w:rFonts w:ascii="Times New Roman" w:hAnsi="Times New Roman"/>
        </w:rPr>
        <w:t xml:space="preserve"> We </w:t>
      </w:r>
      <w:r w:rsidR="00DC3BED">
        <w:rPr>
          <w:rFonts w:ascii="Times New Roman" w:hAnsi="Times New Roman"/>
        </w:rPr>
        <w:t>then show</w:t>
      </w:r>
      <w:r w:rsidR="009239C4">
        <w:rPr>
          <w:rFonts w:ascii="Times New Roman" w:hAnsi="Times New Roman"/>
        </w:rPr>
        <w:t>,</w:t>
      </w:r>
      <w:r w:rsidR="00DC3BED">
        <w:rPr>
          <w:rFonts w:ascii="Times New Roman" w:hAnsi="Times New Roman"/>
        </w:rPr>
        <w:t xml:space="preserve"> on the basis of market shares </w:t>
      </w:r>
      <w:r w:rsidR="0028711D">
        <w:rPr>
          <w:rFonts w:ascii="Times New Roman" w:hAnsi="Times New Roman"/>
        </w:rPr>
        <w:t xml:space="preserve">of US banks </w:t>
      </w:r>
      <w:r w:rsidR="00DC3BED">
        <w:rPr>
          <w:rFonts w:ascii="Times New Roman" w:hAnsi="Times New Roman"/>
        </w:rPr>
        <w:t xml:space="preserve">in </w:t>
      </w:r>
      <w:r w:rsidR="003C5F78">
        <w:rPr>
          <w:rFonts w:ascii="Times New Roman" w:hAnsi="Times New Roman"/>
        </w:rPr>
        <w:t xml:space="preserve">the </w:t>
      </w:r>
      <w:r w:rsidR="00DC3BED">
        <w:rPr>
          <w:rFonts w:ascii="Times New Roman" w:hAnsi="Times New Roman"/>
        </w:rPr>
        <w:t>CDS</w:t>
      </w:r>
      <w:r w:rsidR="003C5F78">
        <w:rPr>
          <w:rFonts w:ascii="Times New Roman" w:hAnsi="Times New Roman"/>
        </w:rPr>
        <w:t xml:space="preserve"> market</w:t>
      </w:r>
      <w:r w:rsidR="00022749">
        <w:rPr>
          <w:rFonts w:ascii="Times New Roman" w:hAnsi="Times New Roman"/>
        </w:rPr>
        <w:t>,</w:t>
      </w:r>
      <w:r w:rsidR="003C5F78">
        <w:rPr>
          <w:rFonts w:ascii="Times New Roman" w:hAnsi="Times New Roman"/>
        </w:rPr>
        <w:t xml:space="preserve"> </w:t>
      </w:r>
      <w:r w:rsidR="00DC3BED">
        <w:rPr>
          <w:rFonts w:ascii="Times New Roman" w:hAnsi="Times New Roman"/>
        </w:rPr>
        <w:t xml:space="preserve">that </w:t>
      </w:r>
      <w:r w:rsidR="003C5F78">
        <w:rPr>
          <w:rFonts w:ascii="Times New Roman" w:hAnsi="Times New Roman"/>
        </w:rPr>
        <w:t>i</w:t>
      </w:r>
      <w:r w:rsidR="00DC3BED">
        <w:rPr>
          <w:rFonts w:ascii="Times New Roman" w:hAnsi="Times New Roman"/>
        </w:rPr>
        <w:t>t impl</w:t>
      </w:r>
      <w:r w:rsidR="0028711D">
        <w:rPr>
          <w:rFonts w:ascii="Times New Roman" w:hAnsi="Times New Roman"/>
        </w:rPr>
        <w:t>ies</w:t>
      </w:r>
      <w:r w:rsidR="00DC3BED">
        <w:rPr>
          <w:rFonts w:ascii="Times New Roman" w:hAnsi="Times New Roman"/>
        </w:rPr>
        <w:t xml:space="preserve"> </w:t>
      </w:r>
      <w:r w:rsidR="0074303F">
        <w:rPr>
          <w:rFonts w:ascii="Times New Roman" w:hAnsi="Times New Roman"/>
        </w:rPr>
        <w:t xml:space="preserve">a </w:t>
      </w:r>
      <w:r w:rsidR="00DC3BED">
        <w:rPr>
          <w:rFonts w:ascii="Times New Roman" w:hAnsi="Times New Roman"/>
          <w:i/>
        </w:rPr>
        <w:t xml:space="preserve">too interconnected to fail </w:t>
      </w:r>
      <w:r w:rsidR="005C0F25">
        <w:rPr>
          <w:rFonts w:ascii="Times New Roman" w:hAnsi="Times New Roman"/>
        </w:rPr>
        <w:t xml:space="preserve">network </w:t>
      </w:r>
      <w:r w:rsidR="001F093A">
        <w:rPr>
          <w:rFonts w:ascii="Times New Roman" w:hAnsi="Times New Roman"/>
        </w:rPr>
        <w:t>topology</w:t>
      </w:r>
      <w:r w:rsidR="005C0F25">
        <w:rPr>
          <w:rFonts w:ascii="Times New Roman" w:hAnsi="Times New Roman"/>
        </w:rPr>
        <w:t xml:space="preserve"> which </w:t>
      </w:r>
      <w:r w:rsidR="001F093A">
        <w:rPr>
          <w:rFonts w:ascii="Times New Roman" w:hAnsi="Times New Roman"/>
        </w:rPr>
        <w:t>is</w:t>
      </w:r>
      <w:r w:rsidR="005C0F25">
        <w:rPr>
          <w:rFonts w:ascii="Times New Roman" w:hAnsi="Times New Roman"/>
        </w:rPr>
        <w:t xml:space="preserve"> a source of systemic risk. </w:t>
      </w:r>
      <w:r w:rsidR="00B664C7">
        <w:rPr>
          <w:rFonts w:ascii="Times New Roman" w:hAnsi="Times New Roman"/>
        </w:rPr>
        <w:t xml:space="preserve"> The structural weakness in modern risk sharing institutions </w:t>
      </w:r>
      <w:r w:rsidR="00DC3BED">
        <w:rPr>
          <w:rFonts w:ascii="Times New Roman" w:hAnsi="Times New Roman"/>
        </w:rPr>
        <w:t xml:space="preserve">arising from </w:t>
      </w:r>
      <w:r w:rsidR="005C0F25">
        <w:rPr>
          <w:rFonts w:ascii="Times New Roman" w:hAnsi="Times New Roman"/>
        </w:rPr>
        <w:t>too much concentration of market share among a few broker</w:t>
      </w:r>
      <w:r w:rsidR="001B5758">
        <w:rPr>
          <w:rFonts w:ascii="Times New Roman" w:hAnsi="Times New Roman"/>
        </w:rPr>
        <w:t>-</w:t>
      </w:r>
      <w:proofErr w:type="gramStart"/>
      <w:r w:rsidR="005C0F25">
        <w:rPr>
          <w:rFonts w:ascii="Times New Roman" w:hAnsi="Times New Roman"/>
        </w:rPr>
        <w:t>dealers</w:t>
      </w:r>
      <w:r w:rsidR="0028711D">
        <w:rPr>
          <w:rFonts w:ascii="Times New Roman" w:hAnsi="Times New Roman"/>
        </w:rPr>
        <w:t>,</w:t>
      </w:r>
      <w:proofErr w:type="gramEnd"/>
      <w:r w:rsidR="0028711D">
        <w:rPr>
          <w:rFonts w:ascii="Times New Roman" w:hAnsi="Times New Roman"/>
        </w:rPr>
        <w:t xml:space="preserve"> is a matter which </w:t>
      </w:r>
      <w:r w:rsidR="0080424B">
        <w:rPr>
          <w:rFonts w:ascii="Times New Roman" w:hAnsi="Times New Roman"/>
        </w:rPr>
        <w:t>w</w:t>
      </w:r>
      <w:r w:rsidR="0028711D">
        <w:rPr>
          <w:rFonts w:ascii="Times New Roman" w:hAnsi="Times New Roman"/>
        </w:rPr>
        <w:t xml:space="preserve">as </w:t>
      </w:r>
      <w:r w:rsidR="0080424B">
        <w:rPr>
          <w:rFonts w:ascii="Times New Roman" w:hAnsi="Times New Roman"/>
        </w:rPr>
        <w:t>first</w:t>
      </w:r>
      <w:r w:rsidR="0028711D">
        <w:rPr>
          <w:rFonts w:ascii="Times New Roman" w:hAnsi="Times New Roman"/>
        </w:rPr>
        <w:t xml:space="preserve"> raised by Darby </w:t>
      </w:r>
      <w:r w:rsidR="0080424B">
        <w:rPr>
          <w:rFonts w:ascii="Times New Roman" w:hAnsi="Times New Roman"/>
        </w:rPr>
        <w:t>(199</w:t>
      </w:r>
      <w:r w:rsidR="00913DB3">
        <w:rPr>
          <w:rFonts w:ascii="Times New Roman" w:hAnsi="Times New Roman"/>
        </w:rPr>
        <w:t>4</w:t>
      </w:r>
      <w:r w:rsidR="0080424B">
        <w:rPr>
          <w:rFonts w:ascii="Times New Roman" w:hAnsi="Times New Roman"/>
        </w:rPr>
        <w:t>) in the case of derivatives markets in general.  M</w:t>
      </w:r>
      <w:r w:rsidR="002B0189" w:rsidRPr="0080424B">
        <w:rPr>
          <w:rStyle w:val="Emphasis"/>
          <w:rFonts w:ascii="Times New Roman" w:hAnsi="Times New Roman"/>
          <w:i w:val="0"/>
        </w:rPr>
        <w:t>any have</w:t>
      </w:r>
      <w:r w:rsidR="0080424B">
        <w:rPr>
          <w:rStyle w:val="Emphasis"/>
          <w:rFonts w:ascii="Times New Roman" w:hAnsi="Times New Roman"/>
          <w:i w:val="0"/>
        </w:rPr>
        <w:t xml:space="preserve"> since </w:t>
      </w:r>
      <w:r w:rsidR="002B0189" w:rsidRPr="0080424B">
        <w:rPr>
          <w:rStyle w:val="Emphasis"/>
          <w:rFonts w:ascii="Times New Roman" w:hAnsi="Times New Roman"/>
          <w:i w:val="0"/>
        </w:rPr>
        <w:t xml:space="preserve">noted (see, </w:t>
      </w:r>
      <w:proofErr w:type="spellStart"/>
      <w:r w:rsidR="002B0189" w:rsidRPr="0080424B">
        <w:rPr>
          <w:rStyle w:val="Emphasis"/>
          <w:rFonts w:ascii="Times New Roman" w:hAnsi="Times New Roman"/>
          <w:i w:val="0"/>
        </w:rPr>
        <w:t>Persuad</w:t>
      </w:r>
      <w:proofErr w:type="spellEnd"/>
      <w:r w:rsidR="002B0189" w:rsidRPr="0080424B">
        <w:rPr>
          <w:rStyle w:val="Emphasis"/>
          <w:rFonts w:ascii="Times New Roman" w:hAnsi="Times New Roman"/>
          <w:i w:val="0"/>
        </w:rPr>
        <w:t xml:space="preserve"> (2002), Lucas et. al. (2007), Das (2010) and Gibson (2007)) that</w:t>
      </w:r>
      <w:r w:rsidR="002B0189" w:rsidRPr="0080424B">
        <w:rPr>
          <w:rStyle w:val="Emphasis"/>
          <w:rFonts w:ascii="Times New Roman" w:hAnsi="Times New Roman"/>
        </w:rPr>
        <w:t xml:space="preserve"> </w:t>
      </w:r>
      <w:r w:rsidR="002B0189" w:rsidRPr="0080424B">
        <w:rPr>
          <w:rFonts w:ascii="Times New Roman" w:hAnsi="Times New Roman"/>
        </w:rPr>
        <w:t>the benefits of CRT will be compromised by the structural concentration of the CDS market.</w:t>
      </w:r>
      <w:r w:rsidR="002B0189" w:rsidRPr="0080424B">
        <w:t xml:space="preserve"> </w:t>
      </w:r>
      <w:r w:rsidR="002B0189">
        <w:t xml:space="preserve"> </w:t>
      </w:r>
      <w:r w:rsidR="0028711D">
        <w:rPr>
          <w:rFonts w:ascii="Times New Roman" w:hAnsi="Times New Roman"/>
        </w:rPr>
        <w:t>Using financial network modelling</w:t>
      </w:r>
      <w:r w:rsidR="005C0F25">
        <w:rPr>
          <w:rFonts w:ascii="Times New Roman" w:hAnsi="Times New Roman"/>
        </w:rPr>
        <w:t xml:space="preserve"> </w:t>
      </w:r>
      <w:r w:rsidR="0028711D">
        <w:rPr>
          <w:rFonts w:ascii="Times New Roman" w:hAnsi="Times New Roman"/>
        </w:rPr>
        <w:t>we have dealt with the</w:t>
      </w:r>
      <w:r w:rsidR="00EA0888">
        <w:rPr>
          <w:rFonts w:ascii="Times New Roman" w:hAnsi="Times New Roman"/>
        </w:rPr>
        <w:t xml:space="preserve">se </w:t>
      </w:r>
      <w:r w:rsidR="0028711D">
        <w:rPr>
          <w:rFonts w:ascii="Times New Roman" w:hAnsi="Times New Roman"/>
        </w:rPr>
        <w:t xml:space="preserve">issues </w:t>
      </w:r>
      <w:r w:rsidR="005C0F25">
        <w:rPr>
          <w:rFonts w:ascii="Times New Roman" w:hAnsi="Times New Roman"/>
        </w:rPr>
        <w:t xml:space="preserve">in Markose </w:t>
      </w:r>
      <w:proofErr w:type="gramStart"/>
      <w:r w:rsidR="005C0F25" w:rsidRPr="005C0F25">
        <w:rPr>
          <w:rFonts w:ascii="Times New Roman" w:hAnsi="Times New Roman"/>
          <w:i/>
        </w:rPr>
        <w:t>et</w:t>
      </w:r>
      <w:proofErr w:type="gramEnd"/>
      <w:r w:rsidR="005C0F25" w:rsidRPr="005C0F25">
        <w:rPr>
          <w:rFonts w:ascii="Times New Roman" w:hAnsi="Times New Roman"/>
          <w:i/>
        </w:rPr>
        <w:t>. al.</w:t>
      </w:r>
      <w:r w:rsidR="005C0F25">
        <w:rPr>
          <w:rFonts w:ascii="Times New Roman" w:hAnsi="Times New Roman"/>
        </w:rPr>
        <w:t xml:space="preserve"> (2012, forthcoming) in the case of the US CDS market and </w:t>
      </w:r>
      <w:r w:rsidR="00022A1A">
        <w:rPr>
          <w:rFonts w:ascii="Times New Roman" w:hAnsi="Times New Roman"/>
        </w:rPr>
        <w:t>f</w:t>
      </w:r>
      <w:r w:rsidR="005C0F25">
        <w:rPr>
          <w:rFonts w:ascii="Times New Roman" w:hAnsi="Times New Roman"/>
        </w:rPr>
        <w:t xml:space="preserve">or the global </w:t>
      </w:r>
      <w:r w:rsidR="0028711D">
        <w:rPr>
          <w:rFonts w:ascii="Times New Roman" w:hAnsi="Times New Roman"/>
        </w:rPr>
        <w:t>derivatives market</w:t>
      </w:r>
      <w:r w:rsidR="001B5758">
        <w:rPr>
          <w:rFonts w:ascii="Times New Roman" w:hAnsi="Times New Roman"/>
        </w:rPr>
        <w:t>s</w:t>
      </w:r>
      <w:r w:rsidR="0028711D">
        <w:rPr>
          <w:rFonts w:ascii="Times New Roman" w:hAnsi="Times New Roman"/>
        </w:rPr>
        <w:t xml:space="preserve"> in Markose (2012, forthcoming). </w:t>
      </w:r>
      <w:r w:rsidR="002B0189">
        <w:rPr>
          <w:rFonts w:ascii="Times New Roman" w:hAnsi="Times New Roman"/>
        </w:rPr>
        <w:t xml:space="preserve"> </w:t>
      </w:r>
      <w:r w:rsidR="00022A1A">
        <w:rPr>
          <w:rFonts w:ascii="Times New Roman" w:hAnsi="Times New Roman"/>
        </w:rPr>
        <w:t xml:space="preserve">This paper will show how a MAFN simulation platform based on the US FDIC data base will combine both the stress tests for perverse incentives of Basel II CRT regulation and also the systemic risk from the financial network that </w:t>
      </w:r>
      <w:r w:rsidR="003C5F78">
        <w:rPr>
          <w:rFonts w:ascii="Times New Roman" w:hAnsi="Times New Roman"/>
        </w:rPr>
        <w:t>arises from</w:t>
      </w:r>
      <w:r w:rsidR="00022A1A">
        <w:rPr>
          <w:rFonts w:ascii="Times New Roman" w:hAnsi="Times New Roman"/>
        </w:rPr>
        <w:t xml:space="preserve"> the CDS obligations of US banks.  We note that in the repertoire of agent based models, t</w:t>
      </w:r>
      <w:r w:rsidR="00EA0888">
        <w:rPr>
          <w:rFonts w:ascii="Times New Roman" w:hAnsi="Times New Roman"/>
        </w:rPr>
        <w:t>he potential for systemic risk from regulatory incentives are the easiest to simulate.  In the case</w:t>
      </w:r>
      <w:r w:rsidR="001B5758">
        <w:rPr>
          <w:rFonts w:ascii="Times New Roman" w:hAnsi="Times New Roman"/>
        </w:rPr>
        <w:t xml:space="preserve"> for policy</w:t>
      </w:r>
      <w:r w:rsidR="00EA0888">
        <w:rPr>
          <w:rFonts w:ascii="Times New Roman" w:hAnsi="Times New Roman"/>
        </w:rPr>
        <w:t xml:space="preserve"> incentives for capital reduction- we set the banks to minimize capital as </w:t>
      </w:r>
      <w:r w:rsidR="001B5758">
        <w:rPr>
          <w:rFonts w:ascii="Times New Roman" w:hAnsi="Times New Roman"/>
        </w:rPr>
        <w:t xml:space="preserve">far as it </w:t>
      </w:r>
      <w:r w:rsidR="00EA0888">
        <w:rPr>
          <w:rFonts w:ascii="Times New Roman" w:hAnsi="Times New Roman"/>
        </w:rPr>
        <w:t xml:space="preserve">is </w:t>
      </w:r>
      <w:r w:rsidR="001B5758">
        <w:rPr>
          <w:rFonts w:ascii="Times New Roman" w:hAnsi="Times New Roman"/>
        </w:rPr>
        <w:t>permitted</w:t>
      </w:r>
      <w:r w:rsidR="00EA0888">
        <w:rPr>
          <w:rFonts w:ascii="Times New Roman" w:hAnsi="Times New Roman"/>
        </w:rPr>
        <w:t xml:space="preserve"> by the rules of synthetic securitization and the market conditions given by the sub-prime ABX-HE index.   </w:t>
      </w:r>
      <w:r w:rsidR="002B0189">
        <w:rPr>
          <w:rFonts w:ascii="Times New Roman" w:hAnsi="Times New Roman"/>
        </w:rPr>
        <w:t xml:space="preserve"> </w:t>
      </w:r>
      <w:r w:rsidR="005C0F25">
        <w:rPr>
          <w:rFonts w:ascii="Times New Roman" w:hAnsi="Times New Roman"/>
        </w:rPr>
        <w:t xml:space="preserve">  </w:t>
      </w:r>
      <w:r w:rsidR="00231F81">
        <w:rPr>
          <w:rFonts w:ascii="Times New Roman" w:hAnsi="Times New Roman"/>
        </w:rPr>
        <w:t xml:space="preserve"> </w:t>
      </w:r>
      <w:r w:rsidR="00F30AB6">
        <w:rPr>
          <w:rFonts w:ascii="Times New Roman" w:hAnsi="Times New Roman"/>
        </w:rPr>
        <w:t xml:space="preserve">  </w:t>
      </w:r>
    </w:p>
    <w:p w:rsidR="0010522B" w:rsidRPr="00994DC2" w:rsidRDefault="004D78CD" w:rsidP="00994DC2">
      <w:pPr>
        <w:spacing w:line="360" w:lineRule="auto"/>
        <w:jc w:val="both"/>
        <w:rPr>
          <w:rFonts w:ascii="Times New Roman" w:hAnsi="Times New Roman"/>
        </w:rPr>
      </w:pPr>
      <w:r w:rsidRPr="00994DC2">
        <w:rPr>
          <w:rFonts w:ascii="Times New Roman" w:hAnsi="Times New Roman"/>
        </w:rPr>
        <w:t xml:space="preserve">The rest of the </w:t>
      </w:r>
      <w:r w:rsidR="00352C08" w:rsidRPr="00994DC2">
        <w:rPr>
          <w:rFonts w:ascii="Times New Roman" w:hAnsi="Times New Roman"/>
        </w:rPr>
        <w:t>paper</w:t>
      </w:r>
      <w:r w:rsidRPr="00994DC2">
        <w:rPr>
          <w:rFonts w:ascii="Times New Roman" w:hAnsi="Times New Roman"/>
        </w:rPr>
        <w:t xml:space="preserve"> is organized as follows.  Section 2 will set out</w:t>
      </w:r>
      <w:r w:rsidR="00DA556F" w:rsidRPr="00994DC2">
        <w:rPr>
          <w:rFonts w:ascii="Times New Roman" w:hAnsi="Times New Roman"/>
        </w:rPr>
        <w:t xml:space="preserve"> regulatory</w:t>
      </w:r>
      <w:r w:rsidR="00B508B5" w:rsidRPr="00994DC2">
        <w:rPr>
          <w:rFonts w:ascii="Times New Roman" w:hAnsi="Times New Roman"/>
        </w:rPr>
        <w:t xml:space="preserve"> conditions for capital reduction </w:t>
      </w:r>
      <w:r w:rsidR="00DA556F" w:rsidRPr="00994DC2">
        <w:rPr>
          <w:rFonts w:ascii="Times New Roman" w:hAnsi="Times New Roman"/>
        </w:rPr>
        <w:t xml:space="preserve">and also the </w:t>
      </w:r>
      <w:r w:rsidR="00B508B5" w:rsidRPr="00994DC2">
        <w:rPr>
          <w:rFonts w:ascii="Times New Roman" w:hAnsi="Times New Roman"/>
        </w:rPr>
        <w:t>costs of credit risk mitigation</w:t>
      </w:r>
      <w:r w:rsidR="00022A1A">
        <w:rPr>
          <w:rFonts w:ascii="Times New Roman" w:hAnsi="Times New Roman"/>
        </w:rPr>
        <w:t xml:space="preserve"> from CDS</w:t>
      </w:r>
      <w:r w:rsidR="00B508B5" w:rsidRPr="00994DC2">
        <w:rPr>
          <w:rFonts w:ascii="Times New Roman" w:hAnsi="Times New Roman"/>
        </w:rPr>
        <w:t xml:space="preserve">. </w:t>
      </w:r>
      <w:r w:rsidR="009519C8">
        <w:rPr>
          <w:rFonts w:ascii="Times New Roman" w:hAnsi="Times New Roman"/>
        </w:rPr>
        <w:t xml:space="preserve"> </w:t>
      </w:r>
      <w:r w:rsidR="00B508B5" w:rsidRPr="00994DC2">
        <w:rPr>
          <w:rFonts w:ascii="Times New Roman" w:hAnsi="Times New Roman"/>
        </w:rPr>
        <w:t>T</w:t>
      </w:r>
      <w:r w:rsidRPr="00994DC2">
        <w:rPr>
          <w:rFonts w:ascii="Times New Roman" w:hAnsi="Times New Roman"/>
        </w:rPr>
        <w:t xml:space="preserve">he synthetic CDO structure </w:t>
      </w:r>
      <w:r w:rsidR="00144CAF" w:rsidRPr="00994DC2">
        <w:rPr>
          <w:rFonts w:ascii="Times New Roman" w:hAnsi="Times New Roman"/>
        </w:rPr>
        <w:t xml:space="preserve">referenced on the ABX-HE tranches </w:t>
      </w:r>
      <w:r w:rsidRPr="00994DC2">
        <w:rPr>
          <w:rFonts w:ascii="Times New Roman" w:hAnsi="Times New Roman"/>
        </w:rPr>
        <w:t xml:space="preserve">which will be </w:t>
      </w:r>
      <w:r w:rsidR="00144CAF" w:rsidRPr="00994DC2">
        <w:rPr>
          <w:rFonts w:ascii="Times New Roman" w:hAnsi="Times New Roman"/>
        </w:rPr>
        <w:t>replicated in the strategies of the bank agents</w:t>
      </w:r>
      <w:r w:rsidR="00B508B5" w:rsidRPr="00994DC2">
        <w:rPr>
          <w:rFonts w:ascii="Times New Roman" w:hAnsi="Times New Roman"/>
        </w:rPr>
        <w:t xml:space="preserve"> will be discussed</w:t>
      </w:r>
      <w:r w:rsidR="00144CAF" w:rsidRPr="00994DC2">
        <w:rPr>
          <w:rFonts w:ascii="Times New Roman" w:hAnsi="Times New Roman"/>
        </w:rPr>
        <w:t>.  The</w:t>
      </w:r>
      <w:r w:rsidR="0025120C" w:rsidRPr="00994DC2">
        <w:rPr>
          <w:rFonts w:ascii="Times New Roman" w:hAnsi="Times New Roman"/>
        </w:rPr>
        <w:t xml:space="preserve"> question</w:t>
      </w:r>
      <w:r w:rsidR="0010483A">
        <w:rPr>
          <w:rFonts w:ascii="Times New Roman" w:hAnsi="Times New Roman"/>
        </w:rPr>
        <w:t>s</w:t>
      </w:r>
      <w:r w:rsidR="0025120C" w:rsidRPr="00994DC2">
        <w:rPr>
          <w:rFonts w:ascii="Times New Roman" w:hAnsi="Times New Roman"/>
        </w:rPr>
        <w:t xml:space="preserve"> being asked </w:t>
      </w:r>
      <w:r w:rsidR="0010483A">
        <w:rPr>
          <w:rFonts w:ascii="Times New Roman" w:hAnsi="Times New Roman"/>
        </w:rPr>
        <w:t>are</w:t>
      </w:r>
      <w:r w:rsidR="0025120C" w:rsidRPr="00994DC2">
        <w:rPr>
          <w:rFonts w:ascii="Times New Roman" w:hAnsi="Times New Roman"/>
        </w:rPr>
        <w:t xml:space="preserve"> as follows: could the US banks that were simultaneously involved in both CDS purchases and RMBS assets,</w:t>
      </w:r>
      <w:r w:rsidR="00EA2138" w:rsidRPr="00994DC2">
        <w:rPr>
          <w:rFonts w:ascii="Times New Roman" w:hAnsi="Times New Roman"/>
        </w:rPr>
        <w:t xml:space="preserve"> have accumulated the </w:t>
      </w:r>
      <w:r w:rsidR="008D0875">
        <w:rPr>
          <w:rFonts w:ascii="Times New Roman" w:hAnsi="Times New Roman"/>
        </w:rPr>
        <w:t xml:space="preserve">quantities </w:t>
      </w:r>
      <w:r w:rsidR="00EA2138" w:rsidRPr="00994DC2">
        <w:rPr>
          <w:rFonts w:ascii="Times New Roman" w:hAnsi="Times New Roman"/>
        </w:rPr>
        <w:t xml:space="preserve">of these assets </w:t>
      </w:r>
      <w:r w:rsidR="00EA2138" w:rsidRPr="00994DC2">
        <w:rPr>
          <w:rFonts w:ascii="Times New Roman" w:hAnsi="Times New Roman"/>
        </w:rPr>
        <w:lastRenderedPageBreak/>
        <w:t xml:space="preserve">over the period of 2006 to 2007 </w:t>
      </w:r>
      <w:r w:rsidR="007D35B0">
        <w:rPr>
          <w:rFonts w:ascii="Times New Roman" w:hAnsi="Times New Roman"/>
        </w:rPr>
        <w:t>Q</w:t>
      </w:r>
      <w:r w:rsidR="00EA2138" w:rsidRPr="00994DC2">
        <w:rPr>
          <w:rFonts w:ascii="Times New Roman" w:hAnsi="Times New Roman"/>
        </w:rPr>
        <w:t xml:space="preserve"> </w:t>
      </w:r>
      <w:r w:rsidR="00786026">
        <w:rPr>
          <w:rFonts w:ascii="Times New Roman" w:hAnsi="Times New Roman"/>
        </w:rPr>
        <w:t>3</w:t>
      </w:r>
      <w:r w:rsidR="00EA2138" w:rsidRPr="00994DC2">
        <w:rPr>
          <w:rFonts w:ascii="Times New Roman" w:hAnsi="Times New Roman"/>
        </w:rPr>
        <w:t xml:space="preserve"> when the holdings of these peaked,</w:t>
      </w:r>
      <w:r w:rsidR="00D37DDE" w:rsidRPr="00994DC2">
        <w:rPr>
          <w:rFonts w:ascii="Times New Roman" w:hAnsi="Times New Roman"/>
        </w:rPr>
        <w:t xml:space="preserve"> solely through a process of capital </w:t>
      </w:r>
      <w:r w:rsidR="00786026">
        <w:rPr>
          <w:rFonts w:ascii="Times New Roman" w:hAnsi="Times New Roman"/>
        </w:rPr>
        <w:t>arbitrage</w:t>
      </w:r>
      <w:r w:rsidR="00325AAE">
        <w:rPr>
          <w:rFonts w:ascii="Times New Roman" w:hAnsi="Times New Roman"/>
        </w:rPr>
        <w:t xml:space="preserve"> permitted</w:t>
      </w:r>
      <w:r w:rsidR="00786026">
        <w:rPr>
          <w:rFonts w:ascii="Times New Roman" w:hAnsi="Times New Roman"/>
        </w:rPr>
        <w:t xml:space="preserve"> by the regulatory framework ?</w:t>
      </w:r>
      <w:r w:rsidR="00325AAE">
        <w:rPr>
          <w:rFonts w:ascii="Times New Roman" w:hAnsi="Times New Roman"/>
        </w:rPr>
        <w:t xml:space="preserve"> </w:t>
      </w:r>
      <w:r w:rsidR="00144CAF" w:rsidRPr="00994DC2">
        <w:rPr>
          <w:rFonts w:ascii="Times New Roman" w:hAnsi="Times New Roman"/>
        </w:rPr>
        <w:t xml:space="preserve"> </w:t>
      </w:r>
      <w:r w:rsidR="0010483A">
        <w:rPr>
          <w:rFonts w:ascii="Times New Roman" w:hAnsi="Times New Roman"/>
        </w:rPr>
        <w:t xml:space="preserve">How much did market conditions and CDS carry trade exacerbate the situation? </w:t>
      </w:r>
      <w:r w:rsidR="006C27E9">
        <w:rPr>
          <w:rFonts w:ascii="Times New Roman" w:hAnsi="Times New Roman"/>
        </w:rPr>
        <w:t xml:space="preserve">How much leverage </w:t>
      </w:r>
      <w:r w:rsidR="00E00123">
        <w:rPr>
          <w:rFonts w:ascii="Times New Roman" w:hAnsi="Times New Roman"/>
        </w:rPr>
        <w:t xml:space="preserve">was involved in </w:t>
      </w:r>
      <w:r w:rsidR="00206897">
        <w:rPr>
          <w:rFonts w:ascii="Times New Roman" w:hAnsi="Times New Roman"/>
        </w:rPr>
        <w:t xml:space="preserve">the </w:t>
      </w:r>
      <w:r w:rsidR="006C27E9">
        <w:rPr>
          <w:rFonts w:ascii="Times New Roman" w:hAnsi="Times New Roman"/>
        </w:rPr>
        <w:t xml:space="preserve">context of </w:t>
      </w:r>
      <w:r w:rsidR="00206897">
        <w:rPr>
          <w:rFonts w:ascii="Times New Roman" w:hAnsi="Times New Roman"/>
        </w:rPr>
        <w:t xml:space="preserve">CRT using CDS in the 2006-07 </w:t>
      </w:r>
      <w:proofErr w:type="gramStart"/>
      <w:r w:rsidR="00206897">
        <w:rPr>
          <w:rFonts w:ascii="Times New Roman" w:hAnsi="Times New Roman"/>
        </w:rPr>
        <w:t>period</w:t>
      </w:r>
      <w:proofErr w:type="gramEnd"/>
      <w:r w:rsidR="006C27E9">
        <w:rPr>
          <w:rFonts w:ascii="Times New Roman" w:hAnsi="Times New Roman"/>
        </w:rPr>
        <w:t xml:space="preserve">? </w:t>
      </w:r>
      <w:r w:rsidR="005A2E9E">
        <w:rPr>
          <w:rFonts w:ascii="Times New Roman" w:hAnsi="Times New Roman"/>
        </w:rPr>
        <w:t xml:space="preserve"> </w:t>
      </w:r>
    </w:p>
    <w:p w:rsidR="002F75A5" w:rsidRDefault="00EA2138" w:rsidP="005A2E9E">
      <w:pPr>
        <w:spacing w:line="360" w:lineRule="auto"/>
        <w:rPr>
          <w:rFonts w:ascii="Times New Roman" w:hAnsi="Times New Roman"/>
        </w:rPr>
      </w:pPr>
      <w:r w:rsidRPr="00994DC2">
        <w:rPr>
          <w:rFonts w:ascii="Times New Roman" w:hAnsi="Times New Roman"/>
        </w:rPr>
        <w:t>In parallel, t</w:t>
      </w:r>
      <w:r w:rsidR="0026713E" w:rsidRPr="00994DC2">
        <w:rPr>
          <w:rFonts w:ascii="Times New Roman" w:hAnsi="Times New Roman"/>
        </w:rPr>
        <w:t>he key policy exercise</w:t>
      </w:r>
      <w:r w:rsidR="00472E74" w:rsidRPr="00994DC2">
        <w:rPr>
          <w:rFonts w:ascii="Times New Roman" w:hAnsi="Times New Roman"/>
        </w:rPr>
        <w:t xml:space="preserve"> is to see by</w:t>
      </w:r>
      <w:r w:rsidR="0026713E" w:rsidRPr="00994DC2">
        <w:rPr>
          <w:rFonts w:ascii="Times New Roman" w:hAnsi="Times New Roman"/>
        </w:rPr>
        <w:t xml:space="preserve"> how much</w:t>
      </w:r>
      <w:r w:rsidR="00472E74" w:rsidRPr="00994DC2">
        <w:rPr>
          <w:rFonts w:ascii="Times New Roman" w:hAnsi="Times New Roman"/>
        </w:rPr>
        <w:t xml:space="preserve"> US bank balance sheet holdings of RMBS</w:t>
      </w:r>
      <w:r w:rsidR="00206897">
        <w:rPr>
          <w:rFonts w:ascii="Times New Roman" w:hAnsi="Times New Roman"/>
        </w:rPr>
        <w:t xml:space="preserve"> and CDS</w:t>
      </w:r>
      <w:r w:rsidR="00472E74" w:rsidRPr="00994DC2">
        <w:rPr>
          <w:rFonts w:ascii="Times New Roman" w:hAnsi="Times New Roman"/>
        </w:rPr>
        <w:t xml:space="preserve"> may have been attenuated in the absence of Basel</w:t>
      </w:r>
      <w:r w:rsidR="001740B5" w:rsidRPr="00994DC2">
        <w:rPr>
          <w:rFonts w:ascii="Times New Roman" w:hAnsi="Times New Roman"/>
        </w:rPr>
        <w:t xml:space="preserve"> </w:t>
      </w:r>
      <w:r w:rsidR="0025120C" w:rsidRPr="00994DC2">
        <w:rPr>
          <w:rFonts w:ascii="Times New Roman" w:hAnsi="Times New Roman"/>
        </w:rPr>
        <w:t>II</w:t>
      </w:r>
      <w:r w:rsidR="001740B5" w:rsidRPr="00994DC2">
        <w:rPr>
          <w:rFonts w:ascii="Times New Roman" w:hAnsi="Times New Roman"/>
        </w:rPr>
        <w:t xml:space="preserve"> type regulatory incentives</w:t>
      </w:r>
      <w:r w:rsidR="004D78CD" w:rsidRPr="00994DC2">
        <w:rPr>
          <w:rFonts w:ascii="Times New Roman" w:hAnsi="Times New Roman"/>
        </w:rPr>
        <w:t xml:space="preserve"> in the 2006-7 </w:t>
      </w:r>
      <w:proofErr w:type="gramStart"/>
      <w:r w:rsidR="004D78CD" w:rsidRPr="00994DC2">
        <w:rPr>
          <w:rFonts w:ascii="Times New Roman" w:hAnsi="Times New Roman"/>
        </w:rPr>
        <w:t>period</w:t>
      </w:r>
      <w:proofErr w:type="gramEnd"/>
      <w:r w:rsidR="001740B5" w:rsidRPr="00994DC2">
        <w:rPr>
          <w:rFonts w:ascii="Times New Roman" w:hAnsi="Times New Roman"/>
        </w:rPr>
        <w:t>.</w:t>
      </w:r>
      <w:r w:rsidR="004D78CD" w:rsidRPr="00994DC2">
        <w:rPr>
          <w:rFonts w:ascii="Times New Roman" w:hAnsi="Times New Roman"/>
        </w:rPr>
        <w:t xml:space="preserve"> </w:t>
      </w:r>
      <w:r w:rsidR="003C4EB4">
        <w:rPr>
          <w:rFonts w:ascii="Times New Roman" w:hAnsi="Times New Roman"/>
        </w:rPr>
        <w:t xml:space="preserve"> </w:t>
      </w:r>
      <w:r w:rsidR="00D37DDE" w:rsidRPr="00994DC2">
        <w:rPr>
          <w:rFonts w:ascii="Times New Roman" w:hAnsi="Times New Roman"/>
        </w:rPr>
        <w:t xml:space="preserve">In the spirit of investigating perverse incentives of a given regulatory framework, each bank’s initial position in these assets </w:t>
      </w:r>
      <w:r w:rsidR="008D0875">
        <w:rPr>
          <w:rFonts w:ascii="Times New Roman" w:hAnsi="Times New Roman"/>
        </w:rPr>
        <w:t>is</w:t>
      </w:r>
      <w:r w:rsidR="00C0077E">
        <w:rPr>
          <w:rFonts w:ascii="Times New Roman" w:hAnsi="Times New Roman"/>
        </w:rPr>
        <w:t xml:space="preserve"> taken as the starting point</w:t>
      </w:r>
      <w:r w:rsidR="00206897">
        <w:rPr>
          <w:rFonts w:ascii="Times New Roman" w:hAnsi="Times New Roman"/>
        </w:rPr>
        <w:t xml:space="preserve"> for the algorithms </w:t>
      </w:r>
      <w:r w:rsidR="008D0875">
        <w:rPr>
          <w:rFonts w:ascii="Times New Roman" w:hAnsi="Times New Roman"/>
        </w:rPr>
        <w:t xml:space="preserve">reflecting the terms </w:t>
      </w:r>
      <w:r w:rsidR="00C0077E">
        <w:rPr>
          <w:rFonts w:ascii="Times New Roman" w:hAnsi="Times New Roman"/>
        </w:rPr>
        <w:t xml:space="preserve">and </w:t>
      </w:r>
      <w:r w:rsidR="008D0875">
        <w:rPr>
          <w:rFonts w:ascii="Times New Roman" w:hAnsi="Times New Roman"/>
        </w:rPr>
        <w:t xml:space="preserve">conditions of the regulation </w:t>
      </w:r>
      <w:r w:rsidR="00206897">
        <w:rPr>
          <w:rFonts w:ascii="Times New Roman" w:hAnsi="Times New Roman"/>
        </w:rPr>
        <w:t>being implemented by bank agents. T</w:t>
      </w:r>
      <w:r w:rsidR="00D37DDE" w:rsidRPr="00994DC2">
        <w:rPr>
          <w:rFonts w:ascii="Times New Roman" w:hAnsi="Times New Roman"/>
        </w:rPr>
        <w:t>hen the capital saved and profits from the CDS carry trade are</w:t>
      </w:r>
      <w:r w:rsidR="00206897">
        <w:rPr>
          <w:rFonts w:ascii="Times New Roman" w:hAnsi="Times New Roman"/>
        </w:rPr>
        <w:t xml:space="preserve"> reinvested, </w:t>
      </w:r>
      <w:proofErr w:type="spellStart"/>
      <w:r w:rsidR="00206897">
        <w:rPr>
          <w:rFonts w:ascii="Times New Roman" w:hAnsi="Times New Roman"/>
        </w:rPr>
        <w:t>revalued</w:t>
      </w:r>
      <w:proofErr w:type="spellEnd"/>
      <w:r w:rsidR="00206897">
        <w:rPr>
          <w:rFonts w:ascii="Times New Roman" w:hAnsi="Times New Roman"/>
        </w:rPr>
        <w:t xml:space="preserve"> and </w:t>
      </w:r>
      <w:r w:rsidR="00D37DDE" w:rsidRPr="00994DC2">
        <w:rPr>
          <w:rFonts w:ascii="Times New Roman" w:hAnsi="Times New Roman"/>
        </w:rPr>
        <w:t xml:space="preserve">cumulated quarter by quarter under </w:t>
      </w:r>
      <w:r w:rsidR="00661A01">
        <w:rPr>
          <w:rFonts w:ascii="Times New Roman" w:hAnsi="Times New Roman"/>
        </w:rPr>
        <w:t>prevailing</w:t>
      </w:r>
      <w:r w:rsidR="00D37DDE" w:rsidRPr="00994DC2">
        <w:rPr>
          <w:rFonts w:ascii="Times New Roman" w:hAnsi="Times New Roman"/>
        </w:rPr>
        <w:t xml:space="preserve"> market conditions</w:t>
      </w:r>
      <w:r w:rsidR="00661A01">
        <w:rPr>
          <w:rFonts w:ascii="Times New Roman" w:hAnsi="Times New Roman"/>
        </w:rPr>
        <w:t>.</w:t>
      </w:r>
      <w:r w:rsidR="00D37DDE" w:rsidRPr="00994DC2">
        <w:rPr>
          <w:rFonts w:ascii="Times New Roman" w:hAnsi="Times New Roman"/>
        </w:rPr>
        <w:t xml:space="preserve"> </w:t>
      </w:r>
      <w:r w:rsidR="00661A01">
        <w:rPr>
          <w:rFonts w:ascii="Times New Roman" w:hAnsi="Times New Roman"/>
        </w:rPr>
        <w:t xml:space="preserve"> </w:t>
      </w:r>
      <w:r w:rsidR="007D35B0">
        <w:rPr>
          <w:rFonts w:ascii="Times New Roman" w:hAnsi="Times New Roman"/>
        </w:rPr>
        <w:t xml:space="preserve">In Section 4, the </w:t>
      </w:r>
      <w:r w:rsidR="00A226A7">
        <w:rPr>
          <w:rFonts w:ascii="Times New Roman" w:hAnsi="Times New Roman"/>
        </w:rPr>
        <w:t xml:space="preserve">FDIC </w:t>
      </w:r>
      <w:r w:rsidR="007D35B0">
        <w:rPr>
          <w:rFonts w:ascii="Times New Roman" w:hAnsi="Times New Roman"/>
        </w:rPr>
        <w:t>bank data</w:t>
      </w:r>
      <w:r w:rsidR="009D6BE8">
        <w:rPr>
          <w:rFonts w:ascii="Times New Roman" w:hAnsi="Times New Roman"/>
        </w:rPr>
        <w:t xml:space="preserve"> on RMBS holdings</w:t>
      </w:r>
      <w:r w:rsidR="007D35B0">
        <w:rPr>
          <w:rFonts w:ascii="Times New Roman" w:hAnsi="Times New Roman"/>
        </w:rPr>
        <w:t xml:space="preserve"> and market data on bond yields and the CDS spreads from ABX-HE index is discussed.</w:t>
      </w:r>
      <w:r w:rsidR="00D37DDE" w:rsidRPr="00994DC2">
        <w:rPr>
          <w:rFonts w:ascii="Times New Roman" w:hAnsi="Times New Roman"/>
        </w:rPr>
        <w:t xml:space="preserve"> </w:t>
      </w:r>
      <w:r w:rsidR="007D35B0">
        <w:rPr>
          <w:rFonts w:ascii="Times New Roman" w:hAnsi="Times New Roman"/>
        </w:rPr>
        <w:t>T</w:t>
      </w:r>
      <w:r w:rsidR="00D37DDE" w:rsidRPr="00994DC2">
        <w:rPr>
          <w:rFonts w:ascii="Times New Roman" w:hAnsi="Times New Roman"/>
        </w:rPr>
        <w:t xml:space="preserve">he equivalent CDO yield </w:t>
      </w:r>
      <w:r w:rsidR="00144CAF" w:rsidRPr="00994DC2">
        <w:rPr>
          <w:rFonts w:ascii="Times New Roman" w:hAnsi="Times New Roman"/>
        </w:rPr>
        <w:t xml:space="preserve">spreads </w:t>
      </w:r>
      <w:r w:rsidR="00D37DDE" w:rsidRPr="00994DC2">
        <w:rPr>
          <w:rFonts w:ascii="Times New Roman" w:hAnsi="Times New Roman"/>
        </w:rPr>
        <w:t>are obt</w:t>
      </w:r>
      <w:r w:rsidR="00144CAF" w:rsidRPr="00994DC2">
        <w:rPr>
          <w:rFonts w:ascii="Times New Roman" w:hAnsi="Times New Roman"/>
        </w:rPr>
        <w:t xml:space="preserve">ained from the </w:t>
      </w:r>
      <w:r w:rsidR="00EB2450" w:rsidRPr="00994DC2">
        <w:rPr>
          <w:rFonts w:ascii="Times New Roman" w:hAnsi="Times New Roman"/>
        </w:rPr>
        <w:t xml:space="preserve">weekly CDS/CDO Update </w:t>
      </w:r>
      <w:r w:rsidR="00EB2450">
        <w:rPr>
          <w:rFonts w:ascii="Times New Roman" w:hAnsi="Times New Roman"/>
        </w:rPr>
        <w:t>R</w:t>
      </w:r>
      <w:r w:rsidR="00EB2450" w:rsidRPr="00994DC2">
        <w:rPr>
          <w:rFonts w:ascii="Times New Roman" w:hAnsi="Times New Roman"/>
        </w:rPr>
        <w:t>eports published by the Fixed Income Research team at the Japanese bank Nomura and based on the bank’s weekly CDO pricing pipeline between 2006Q1 and 2007Q3</w:t>
      </w:r>
      <w:r w:rsidR="00EB2450">
        <w:rPr>
          <w:rFonts w:ascii="Times New Roman" w:hAnsi="Times New Roman"/>
        </w:rPr>
        <w:t>.</w:t>
      </w:r>
      <w:r w:rsidR="00144CAF" w:rsidRPr="00994DC2">
        <w:rPr>
          <w:rFonts w:ascii="Times New Roman" w:hAnsi="Times New Roman"/>
        </w:rPr>
        <w:t xml:space="preserve">  </w:t>
      </w:r>
      <w:r w:rsidR="0010483A">
        <w:rPr>
          <w:rFonts w:ascii="Times New Roman" w:hAnsi="Times New Roman"/>
        </w:rPr>
        <w:t>The rea</w:t>
      </w:r>
      <w:r w:rsidR="00210254">
        <w:rPr>
          <w:rFonts w:ascii="Times New Roman" w:hAnsi="Times New Roman"/>
        </w:rPr>
        <w:t>s</w:t>
      </w:r>
      <w:r w:rsidR="0010483A">
        <w:rPr>
          <w:rFonts w:ascii="Times New Roman" w:hAnsi="Times New Roman"/>
        </w:rPr>
        <w:t xml:space="preserve">on why the simulation is confined to the 2006-7 period is that the ABX-HE index which </w:t>
      </w:r>
      <w:r w:rsidR="00EB2450">
        <w:rPr>
          <w:rFonts w:ascii="Times New Roman" w:hAnsi="Times New Roman"/>
        </w:rPr>
        <w:t>gave</w:t>
      </w:r>
      <w:r w:rsidR="0010483A">
        <w:rPr>
          <w:rFonts w:ascii="Times New Roman" w:hAnsi="Times New Roman"/>
        </w:rPr>
        <w:t xml:space="preserve"> market </w:t>
      </w:r>
      <w:r w:rsidR="00EB2450">
        <w:rPr>
          <w:rFonts w:ascii="Times New Roman" w:hAnsi="Times New Roman"/>
        </w:rPr>
        <w:t>information for sub-prime RMBS</w:t>
      </w:r>
      <w:r w:rsidR="0010483A">
        <w:rPr>
          <w:rFonts w:ascii="Times New Roman" w:hAnsi="Times New Roman"/>
        </w:rPr>
        <w:t xml:space="preserve"> CDO activity and </w:t>
      </w:r>
      <w:r w:rsidR="000F3296">
        <w:rPr>
          <w:rFonts w:ascii="Times New Roman" w:hAnsi="Times New Roman"/>
        </w:rPr>
        <w:t>CDS</w:t>
      </w:r>
      <w:r w:rsidR="0010483A">
        <w:rPr>
          <w:rFonts w:ascii="Times New Roman" w:hAnsi="Times New Roman"/>
        </w:rPr>
        <w:t xml:space="preserve"> valuation</w:t>
      </w:r>
      <w:r w:rsidR="00EB2450">
        <w:rPr>
          <w:rFonts w:ascii="Times New Roman" w:hAnsi="Times New Roman"/>
        </w:rPr>
        <w:t xml:space="preserve"> </w:t>
      </w:r>
      <w:r w:rsidR="0010483A">
        <w:rPr>
          <w:rFonts w:ascii="Times New Roman" w:hAnsi="Times New Roman"/>
        </w:rPr>
        <w:t xml:space="preserve">was operational only in this period.  </w:t>
      </w:r>
      <w:r w:rsidR="00620CAD">
        <w:rPr>
          <w:rFonts w:ascii="Times New Roman" w:hAnsi="Times New Roman"/>
        </w:rPr>
        <w:t xml:space="preserve">Section 5 gives the simulation results.  We find that </w:t>
      </w:r>
      <w:r w:rsidR="009D6BE8">
        <w:rPr>
          <w:rFonts w:ascii="Times New Roman" w:hAnsi="Times New Roman"/>
        </w:rPr>
        <w:t xml:space="preserve">around 2006 Q1 </w:t>
      </w:r>
      <w:r w:rsidR="00620CAD">
        <w:rPr>
          <w:rFonts w:ascii="Times New Roman" w:hAnsi="Times New Roman"/>
        </w:rPr>
        <w:t xml:space="preserve">the US FDIC banks saved some $20bn capital from Basel II CDS based CRT.  What is remarkable </w:t>
      </w:r>
      <w:r w:rsidR="00AF2B09">
        <w:rPr>
          <w:rFonts w:ascii="Times New Roman" w:hAnsi="Times New Roman"/>
        </w:rPr>
        <w:t xml:space="preserve">is that the simulation results show </w:t>
      </w:r>
      <w:r w:rsidR="00F00F0C">
        <w:rPr>
          <w:rFonts w:ascii="Times New Roman" w:hAnsi="Times New Roman"/>
        </w:rPr>
        <w:t xml:space="preserve">that </w:t>
      </w:r>
      <w:r w:rsidR="00620CAD">
        <w:rPr>
          <w:rFonts w:ascii="Times New Roman" w:hAnsi="Times New Roman"/>
        </w:rPr>
        <w:t>unless substantial leverage is applied</w:t>
      </w:r>
      <w:r w:rsidR="00D04883">
        <w:rPr>
          <w:rFonts w:ascii="Times New Roman" w:hAnsi="Times New Roman"/>
        </w:rPr>
        <w:t>,</w:t>
      </w:r>
      <w:r w:rsidR="00620CAD">
        <w:rPr>
          <w:rFonts w:ascii="Times New Roman" w:hAnsi="Times New Roman"/>
        </w:rPr>
        <w:t xml:space="preserve"> the $100bn increase in banks’</w:t>
      </w:r>
      <w:r w:rsidR="005D4ED3">
        <w:rPr>
          <w:rFonts w:ascii="Times New Roman" w:hAnsi="Times New Roman"/>
        </w:rPr>
        <w:t xml:space="preserve"> </w:t>
      </w:r>
      <w:r w:rsidR="00E40181">
        <w:rPr>
          <w:rFonts w:ascii="Times New Roman" w:hAnsi="Times New Roman"/>
        </w:rPr>
        <w:t xml:space="preserve">holdings of </w:t>
      </w:r>
      <w:r w:rsidR="005D4ED3">
        <w:rPr>
          <w:rFonts w:ascii="Times New Roman" w:hAnsi="Times New Roman"/>
        </w:rPr>
        <w:t xml:space="preserve">RMBS and structured CDO products </w:t>
      </w:r>
      <w:r w:rsidR="00F00F0C">
        <w:rPr>
          <w:rFonts w:ascii="Times New Roman" w:hAnsi="Times New Roman"/>
        </w:rPr>
        <w:t xml:space="preserve">over the 2006-07 </w:t>
      </w:r>
      <w:proofErr w:type="gramStart"/>
      <w:r w:rsidR="00F00F0C">
        <w:rPr>
          <w:rFonts w:ascii="Times New Roman" w:hAnsi="Times New Roman"/>
        </w:rPr>
        <w:t>period</w:t>
      </w:r>
      <w:proofErr w:type="gramEnd"/>
      <w:r w:rsidR="00F00F0C">
        <w:rPr>
          <w:rFonts w:ascii="Times New Roman" w:hAnsi="Times New Roman"/>
        </w:rPr>
        <w:t xml:space="preserve"> </w:t>
      </w:r>
      <w:r w:rsidR="005D4ED3">
        <w:rPr>
          <w:rFonts w:ascii="Times New Roman" w:hAnsi="Times New Roman"/>
        </w:rPr>
        <w:t>is unlikely to have happened.  Further, substantial CDS purchases averaging about $300bn for each quarter of the 2006-7 for capital reduction was amassed on banks’ balance sheets</w:t>
      </w:r>
      <w:r w:rsidR="00F00F0C">
        <w:rPr>
          <w:rFonts w:ascii="Times New Roman" w:hAnsi="Times New Roman"/>
        </w:rPr>
        <w:t xml:space="preserve"> for purposes of capital reduction on R</w:t>
      </w:r>
      <w:r w:rsidR="0010483A">
        <w:rPr>
          <w:rFonts w:ascii="Times New Roman" w:hAnsi="Times New Roman"/>
        </w:rPr>
        <w:t>MB</w:t>
      </w:r>
      <w:r w:rsidR="00F00F0C">
        <w:rPr>
          <w:rFonts w:ascii="Times New Roman" w:hAnsi="Times New Roman"/>
        </w:rPr>
        <w:t>S</w:t>
      </w:r>
      <w:r w:rsidR="005D4ED3">
        <w:rPr>
          <w:rFonts w:ascii="Times New Roman" w:hAnsi="Times New Roman"/>
        </w:rPr>
        <w:t>.</w:t>
      </w:r>
      <w:r w:rsidR="00F00F0C">
        <w:rPr>
          <w:rFonts w:ascii="Times New Roman" w:hAnsi="Times New Roman"/>
        </w:rPr>
        <w:t xml:space="preserve"> CDS on RMBS was the fastest growing segment of the CDS market </w:t>
      </w:r>
      <w:r w:rsidR="009519C8">
        <w:rPr>
          <w:rFonts w:ascii="Times New Roman" w:hAnsi="Times New Roman"/>
        </w:rPr>
        <w:t>and</w:t>
      </w:r>
      <w:r w:rsidR="00F00F0C">
        <w:rPr>
          <w:rFonts w:ascii="Times New Roman" w:hAnsi="Times New Roman"/>
        </w:rPr>
        <w:t xml:space="preserve"> </w:t>
      </w:r>
      <w:r w:rsidR="00C6474C">
        <w:rPr>
          <w:rFonts w:ascii="Times New Roman" w:hAnsi="Times New Roman"/>
        </w:rPr>
        <w:t>failures to meet obligations arising from these derivatives led to</w:t>
      </w:r>
      <w:r w:rsidR="00E40181">
        <w:rPr>
          <w:rFonts w:ascii="Times New Roman" w:hAnsi="Times New Roman"/>
        </w:rPr>
        <w:t xml:space="preserve"> </w:t>
      </w:r>
      <w:r w:rsidR="005A2E9E">
        <w:rPr>
          <w:rFonts w:ascii="Times New Roman" w:hAnsi="Times New Roman"/>
        </w:rPr>
        <w:t xml:space="preserve">the major tax payer bail out of financial intermediaries in 2008 on grounds of being </w:t>
      </w:r>
      <w:r w:rsidR="005A2E9E">
        <w:rPr>
          <w:rFonts w:ascii="Times New Roman" w:hAnsi="Times New Roman"/>
          <w:i/>
        </w:rPr>
        <w:t>too interconnected to fail</w:t>
      </w:r>
      <w:r w:rsidR="00206897">
        <w:rPr>
          <w:rFonts w:ascii="Times New Roman" w:hAnsi="Times New Roman"/>
        </w:rPr>
        <w:t xml:space="preserve">. </w:t>
      </w:r>
      <w:r w:rsidR="00F00F0C">
        <w:rPr>
          <w:rFonts w:ascii="Times New Roman" w:hAnsi="Times New Roman"/>
        </w:rPr>
        <w:t xml:space="preserve"> </w:t>
      </w:r>
      <w:r w:rsidR="005D4ED3">
        <w:rPr>
          <w:rFonts w:ascii="Times New Roman" w:hAnsi="Times New Roman"/>
        </w:rPr>
        <w:t xml:space="preserve">Section 6 </w:t>
      </w:r>
      <w:r w:rsidR="00E40181">
        <w:rPr>
          <w:rFonts w:ascii="Times New Roman" w:hAnsi="Times New Roman"/>
        </w:rPr>
        <w:t xml:space="preserve">gives a </w:t>
      </w:r>
      <w:r w:rsidR="005A2E9E">
        <w:rPr>
          <w:rFonts w:ascii="Times New Roman" w:hAnsi="Times New Roman"/>
        </w:rPr>
        <w:t>brief discussion of the empirical network cha</w:t>
      </w:r>
      <w:r w:rsidR="00206897">
        <w:rPr>
          <w:rFonts w:ascii="Times New Roman" w:hAnsi="Times New Roman"/>
        </w:rPr>
        <w:t>racterization of the CDS market and its systemic risk implications.  This is followed by a concluding section</w:t>
      </w:r>
      <w:r w:rsidR="00EA0888">
        <w:rPr>
          <w:rFonts w:ascii="Times New Roman" w:hAnsi="Times New Roman"/>
        </w:rPr>
        <w:t xml:space="preserve"> on the </w:t>
      </w:r>
      <w:r w:rsidR="00B90E12">
        <w:rPr>
          <w:rFonts w:ascii="Times New Roman" w:hAnsi="Times New Roman"/>
        </w:rPr>
        <w:t xml:space="preserve">future work </w:t>
      </w:r>
      <w:r w:rsidR="00EA0888">
        <w:rPr>
          <w:rFonts w:ascii="Times New Roman" w:hAnsi="Times New Roman"/>
        </w:rPr>
        <w:t>need</w:t>
      </w:r>
      <w:r w:rsidR="00B90E12">
        <w:rPr>
          <w:rFonts w:ascii="Times New Roman" w:hAnsi="Times New Roman"/>
        </w:rPr>
        <w:t>ed</w:t>
      </w:r>
      <w:r w:rsidR="00EA0888">
        <w:rPr>
          <w:rFonts w:ascii="Times New Roman" w:hAnsi="Times New Roman"/>
        </w:rPr>
        <w:t xml:space="preserve"> to </w:t>
      </w:r>
      <w:r w:rsidR="00B90E12">
        <w:rPr>
          <w:rFonts w:ascii="Times New Roman" w:hAnsi="Times New Roman"/>
        </w:rPr>
        <w:t>extend the scope of MAFN models</w:t>
      </w:r>
      <w:r w:rsidR="001C6621">
        <w:rPr>
          <w:rFonts w:ascii="Times New Roman" w:hAnsi="Times New Roman"/>
        </w:rPr>
        <w:t xml:space="preserve"> </w:t>
      </w:r>
      <w:r w:rsidR="00D04883">
        <w:rPr>
          <w:rFonts w:ascii="Times New Roman" w:hAnsi="Times New Roman"/>
        </w:rPr>
        <w:t xml:space="preserve">beyond the example exercise conducted in this paper to one of full </w:t>
      </w:r>
      <w:r w:rsidR="001C6621">
        <w:rPr>
          <w:rFonts w:ascii="Times New Roman" w:hAnsi="Times New Roman"/>
        </w:rPr>
        <w:t>automation of access to financial firm level data and as a computational platform for monitoring of systemic risks</w:t>
      </w:r>
      <w:r w:rsidR="00206897">
        <w:rPr>
          <w:rFonts w:ascii="Times New Roman" w:hAnsi="Times New Roman"/>
        </w:rPr>
        <w:t>.</w:t>
      </w:r>
    </w:p>
    <w:p w:rsidR="006E5371" w:rsidRPr="005A2E9E" w:rsidRDefault="005A2E9E" w:rsidP="005A2E9E">
      <w:pPr>
        <w:spacing w:line="360" w:lineRule="auto"/>
        <w:rPr>
          <w:rFonts w:ascii="Times New Roman" w:hAnsi="Times New Roman"/>
        </w:rPr>
      </w:pPr>
      <w:proofErr w:type="gramStart"/>
      <w:r w:rsidRPr="00132017">
        <w:rPr>
          <w:rFonts w:ascii="Times New Roman" w:hAnsi="Times New Roman"/>
          <w:b/>
        </w:rPr>
        <w:t>2.</w:t>
      </w:r>
      <w:r w:rsidR="003F6C13" w:rsidRPr="00132017">
        <w:rPr>
          <w:rFonts w:ascii="Times New Roman" w:hAnsi="Times New Roman"/>
          <w:b/>
        </w:rPr>
        <w:t>The</w:t>
      </w:r>
      <w:proofErr w:type="gramEnd"/>
      <w:r w:rsidR="003F6C13" w:rsidRPr="00132017">
        <w:rPr>
          <w:rFonts w:ascii="Times New Roman" w:hAnsi="Times New Roman"/>
          <w:b/>
        </w:rPr>
        <w:t xml:space="preserve"> Regulatory and Market Climate </w:t>
      </w:r>
      <w:r w:rsidR="00AF257C" w:rsidRPr="00132017">
        <w:rPr>
          <w:rFonts w:ascii="Times New Roman" w:hAnsi="Times New Roman"/>
          <w:b/>
        </w:rPr>
        <w:t>(</w:t>
      </w:r>
      <w:r w:rsidR="003F6C13" w:rsidRPr="00132017">
        <w:rPr>
          <w:rFonts w:ascii="Times New Roman" w:hAnsi="Times New Roman"/>
          <w:b/>
        </w:rPr>
        <w:t xml:space="preserve"> 2005</w:t>
      </w:r>
      <w:r w:rsidR="00AF257C" w:rsidRPr="00132017">
        <w:rPr>
          <w:rFonts w:ascii="Times New Roman" w:hAnsi="Times New Roman"/>
          <w:b/>
        </w:rPr>
        <w:t>-</w:t>
      </w:r>
      <w:r w:rsidR="003F6C13" w:rsidRPr="00132017">
        <w:rPr>
          <w:rFonts w:ascii="Times New Roman" w:hAnsi="Times New Roman"/>
          <w:b/>
        </w:rPr>
        <w:t>2007</w:t>
      </w:r>
      <w:r w:rsidR="00AF257C" w:rsidRPr="00132017">
        <w:rPr>
          <w:rFonts w:ascii="Times New Roman" w:hAnsi="Times New Roman"/>
          <w:b/>
        </w:rPr>
        <w:t>)</w:t>
      </w:r>
      <w:r w:rsidR="00AF257C" w:rsidRPr="00132017">
        <w:rPr>
          <w:rFonts w:ascii="Times New Roman" w:hAnsi="Times New Roman"/>
          <w:b/>
        </w:rPr>
        <w:br/>
        <w:t>2.1Capital Reduction for US Banks From Synthetic S</w:t>
      </w:r>
      <w:r w:rsidR="00BA11F9" w:rsidRPr="00132017">
        <w:rPr>
          <w:rFonts w:ascii="Times New Roman" w:hAnsi="Times New Roman"/>
          <w:b/>
        </w:rPr>
        <w:t>ecur</w:t>
      </w:r>
      <w:r w:rsidR="00D44013" w:rsidRPr="00132017">
        <w:rPr>
          <w:rFonts w:ascii="Times New Roman" w:hAnsi="Times New Roman"/>
          <w:b/>
        </w:rPr>
        <w:t>i</w:t>
      </w:r>
      <w:r w:rsidR="00BA11F9" w:rsidRPr="00132017">
        <w:rPr>
          <w:rFonts w:ascii="Times New Roman" w:hAnsi="Times New Roman"/>
          <w:b/>
        </w:rPr>
        <w:t>tization</w:t>
      </w:r>
      <w:r w:rsidR="00BA11F9" w:rsidRPr="005A2E9E">
        <w:rPr>
          <w:rFonts w:ascii="Times New Roman" w:hAnsi="Times New Roman"/>
        </w:rPr>
        <w:t xml:space="preserve"> </w:t>
      </w:r>
    </w:p>
    <w:p w:rsidR="00A80DB2" w:rsidRPr="00994DC2" w:rsidRDefault="0062637A" w:rsidP="00994DC2">
      <w:pPr>
        <w:pStyle w:val="Stylepaper-maintext"/>
        <w:tabs>
          <w:tab w:val="left" w:pos="-709"/>
        </w:tabs>
        <w:spacing w:line="360" w:lineRule="auto"/>
        <w:ind w:right="-46" w:hanging="567"/>
        <w:rPr>
          <w:sz w:val="22"/>
          <w:szCs w:val="22"/>
        </w:rPr>
      </w:pPr>
      <w:r w:rsidRPr="00994DC2">
        <w:rPr>
          <w:sz w:val="22"/>
          <w:szCs w:val="22"/>
        </w:rPr>
        <w:t xml:space="preserve">        </w:t>
      </w:r>
      <w:r w:rsidR="001C6621">
        <w:rPr>
          <w:sz w:val="22"/>
          <w:szCs w:val="22"/>
        </w:rPr>
        <w:t xml:space="preserve"> </w:t>
      </w:r>
      <w:r w:rsidRPr="00994DC2">
        <w:rPr>
          <w:sz w:val="22"/>
          <w:szCs w:val="22"/>
        </w:rPr>
        <w:t xml:space="preserve"> </w:t>
      </w:r>
      <w:r w:rsidR="00A80DB2" w:rsidRPr="00994DC2">
        <w:rPr>
          <w:sz w:val="22"/>
          <w:szCs w:val="22"/>
        </w:rPr>
        <w:t xml:space="preserve">In synthetic securitization and </w:t>
      </w:r>
      <w:r w:rsidR="006007F6">
        <w:rPr>
          <w:sz w:val="22"/>
          <w:szCs w:val="22"/>
        </w:rPr>
        <w:t>CRT</w:t>
      </w:r>
      <w:r w:rsidR="00A80DB2" w:rsidRPr="00994DC2">
        <w:rPr>
          <w:sz w:val="22"/>
          <w:szCs w:val="22"/>
        </w:rPr>
        <w:t xml:space="preserve">, an originating bank uses </w:t>
      </w:r>
      <w:r w:rsidR="00333C33">
        <w:rPr>
          <w:sz w:val="22"/>
          <w:szCs w:val="22"/>
        </w:rPr>
        <w:t>CDS</w:t>
      </w:r>
      <w:r w:rsidR="00A80DB2" w:rsidRPr="00994DC2">
        <w:rPr>
          <w:sz w:val="22"/>
          <w:szCs w:val="22"/>
        </w:rPr>
        <w:t xml:space="preserve"> or guarantees to transfer the credit risk, in whole or in part, of one or more underlying exposures to third-party protection providers. In the typical synthetic securitization, the underlying exposures remain on the balance sheet of the </w:t>
      </w:r>
      <w:r w:rsidR="00A80DB2" w:rsidRPr="00994DC2">
        <w:rPr>
          <w:sz w:val="22"/>
          <w:szCs w:val="22"/>
        </w:rPr>
        <w:lastRenderedPageBreak/>
        <w:t xml:space="preserve">originating bank, but the credit exposure of the originating bank is transferred to the protection provider or covered by collateral pledged by the protection provider. Under Basel I since 1988, a standard 8% regulatory capital requirement applied to banks with very few exceptions for the economic default risk of assets being held by banks.  In the run up to Basel II, and its precursor in the US which set out the </w:t>
      </w:r>
      <w:r w:rsidR="00A80DB2" w:rsidRPr="00994DC2">
        <w:rPr>
          <w:iCs/>
          <w:sz w:val="22"/>
          <w:szCs w:val="22"/>
        </w:rPr>
        <w:t xml:space="preserve">capital treatment in the Synthetic Collateralized Loan Obligations guidance published by the OCC (OCC 99-43) and the </w:t>
      </w:r>
      <w:r w:rsidR="00DE2A6D" w:rsidRPr="00994DC2">
        <w:t>Joint Agencies Rule 66 Fed. Reg. 56914 and 59622 which became effective on January 1, 2002</w:t>
      </w:r>
      <w:r w:rsidR="00A80DB2" w:rsidRPr="00994DC2">
        <w:rPr>
          <w:bCs/>
          <w:sz w:val="22"/>
          <w:szCs w:val="22"/>
        </w:rPr>
        <w:t xml:space="preserve">, </w:t>
      </w:r>
      <w:r w:rsidR="00A80DB2" w:rsidRPr="00994DC2">
        <w:rPr>
          <w:sz w:val="22"/>
          <w:szCs w:val="22"/>
        </w:rPr>
        <w:t xml:space="preserve"> </w:t>
      </w:r>
      <w:r w:rsidR="006F3E86">
        <w:rPr>
          <w:sz w:val="22"/>
          <w:szCs w:val="22"/>
        </w:rPr>
        <w:t>t</w:t>
      </w:r>
      <w:r w:rsidR="00A80DB2" w:rsidRPr="00994DC2">
        <w:rPr>
          <w:sz w:val="22"/>
          <w:szCs w:val="22"/>
        </w:rPr>
        <w:t xml:space="preserve">he 50% risk weight which implied a capital charge of 4% on residential mortgages could be reduced to a mere 1.6% through the process of synthetic securitization and external ratings </w:t>
      </w:r>
      <w:r w:rsidR="00A80DB2" w:rsidRPr="00994DC2">
        <w:rPr>
          <w:bCs/>
          <w:sz w:val="22"/>
          <w:szCs w:val="22"/>
        </w:rPr>
        <w:t xml:space="preserve">which implied 5 times more leverage in the system. This strongly incentivized the use of CDS by banks which began to hold more MBS on </w:t>
      </w:r>
      <w:r w:rsidR="00EA2BD7">
        <w:rPr>
          <w:bCs/>
          <w:sz w:val="22"/>
          <w:szCs w:val="22"/>
        </w:rPr>
        <w:t>their</w:t>
      </w:r>
      <w:r w:rsidR="00A80DB2" w:rsidRPr="00994DC2">
        <w:rPr>
          <w:bCs/>
          <w:sz w:val="22"/>
          <w:szCs w:val="22"/>
        </w:rPr>
        <w:t xml:space="preserve"> balance sheet</w:t>
      </w:r>
      <w:r w:rsidR="00EA2BD7">
        <w:rPr>
          <w:bCs/>
          <w:sz w:val="22"/>
          <w:szCs w:val="22"/>
        </w:rPr>
        <w:t>s</w:t>
      </w:r>
      <w:r w:rsidR="00A80DB2" w:rsidRPr="00994DC2">
        <w:rPr>
          <w:bCs/>
          <w:sz w:val="22"/>
          <w:szCs w:val="22"/>
        </w:rPr>
        <w:t xml:space="preserve"> and also brought AAA players such as AIG, hedge funds and erstwhile municipal bond insurers called </w:t>
      </w:r>
      <w:proofErr w:type="spellStart"/>
      <w:r w:rsidR="00A80DB2" w:rsidRPr="00994DC2">
        <w:rPr>
          <w:bCs/>
          <w:sz w:val="22"/>
          <w:szCs w:val="22"/>
        </w:rPr>
        <w:t>Monolines</w:t>
      </w:r>
      <w:proofErr w:type="spellEnd"/>
      <w:r w:rsidR="00A80DB2" w:rsidRPr="00994DC2">
        <w:rPr>
          <w:bCs/>
          <w:sz w:val="22"/>
          <w:szCs w:val="22"/>
        </w:rPr>
        <w:t xml:space="preserve"> into the CDS market as protection sellers.</w:t>
      </w:r>
      <w:r w:rsidR="00A80DB2" w:rsidRPr="00994DC2">
        <w:rPr>
          <w:rStyle w:val="FootnoteReference"/>
          <w:sz w:val="22"/>
          <w:szCs w:val="22"/>
        </w:rPr>
        <w:t xml:space="preserve"> </w:t>
      </w:r>
      <w:r w:rsidR="00A80DB2" w:rsidRPr="00994DC2">
        <w:rPr>
          <w:rStyle w:val="FootnoteReference"/>
          <w:sz w:val="22"/>
          <w:szCs w:val="22"/>
        </w:rPr>
        <w:footnoteReference w:id="8"/>
      </w:r>
      <w:r w:rsidR="00A80DB2" w:rsidRPr="00994DC2">
        <w:rPr>
          <w:rStyle w:val="FootnoteReference"/>
          <w:sz w:val="22"/>
          <w:szCs w:val="22"/>
        </w:rPr>
        <w:t xml:space="preserve"> </w:t>
      </w:r>
    </w:p>
    <w:p w:rsidR="005A2E9E" w:rsidRPr="005A2E9E" w:rsidRDefault="005A2E9E" w:rsidP="00AF386D">
      <w:pPr>
        <w:pStyle w:val="Stylepaper-maintext"/>
        <w:spacing w:line="360" w:lineRule="auto"/>
        <w:jc w:val="left"/>
        <w:rPr>
          <w:b/>
          <w:color w:val="000000"/>
          <w:sz w:val="22"/>
          <w:szCs w:val="22"/>
        </w:rPr>
      </w:pPr>
      <w:r w:rsidRPr="005A2E9E">
        <w:rPr>
          <w:b/>
          <w:bCs/>
          <w:color w:val="000000"/>
          <w:sz w:val="22"/>
          <w:szCs w:val="22"/>
        </w:rPr>
        <w:t xml:space="preserve">Figure 2 CDO Issuance (USD millions) </w:t>
      </w:r>
      <w:r w:rsidR="00206897">
        <w:rPr>
          <w:b/>
          <w:bCs/>
          <w:color w:val="000000"/>
          <w:sz w:val="22"/>
          <w:szCs w:val="22"/>
        </w:rPr>
        <w:t>2005Q1- 2010Q4</w:t>
      </w:r>
    </w:p>
    <w:p w:rsidR="00A80DB2" w:rsidRPr="00994DC2" w:rsidRDefault="008B4037" w:rsidP="00994DC2">
      <w:pPr>
        <w:spacing w:after="0" w:line="360" w:lineRule="auto"/>
        <w:jc w:val="both"/>
        <w:rPr>
          <w:rFonts w:ascii="Times New Roman" w:eastAsia="Times New Roman" w:hAnsi="Times New Roman"/>
          <w:lang w:eastAsia="en-GB"/>
        </w:rPr>
      </w:pPr>
      <w:r>
        <w:rPr>
          <w:rFonts w:ascii="Times New Roman" w:hAnsi="Times New Roman"/>
          <w:noProof/>
          <w:lang w:eastAsia="en-GB"/>
        </w:rPr>
        <w:drawing>
          <wp:inline distT="0" distB="0" distL="0" distR="0">
            <wp:extent cx="5724525" cy="2286000"/>
            <wp:effectExtent l="19050" t="0" r="9525" b="0"/>
            <wp:docPr id="1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80DB2" w:rsidRPr="00AF386D" w:rsidRDefault="00A80DB2" w:rsidP="00994DC2">
      <w:pPr>
        <w:spacing w:line="360" w:lineRule="auto"/>
        <w:jc w:val="both"/>
        <w:rPr>
          <w:rFonts w:ascii="Times New Roman" w:hAnsi="Times New Roman"/>
          <w:sz w:val="20"/>
          <w:szCs w:val="20"/>
        </w:rPr>
      </w:pPr>
      <w:r w:rsidRPr="00B8772C">
        <w:rPr>
          <w:rFonts w:ascii="Times New Roman" w:hAnsi="Times New Roman"/>
          <w:b/>
          <w:sz w:val="20"/>
          <w:szCs w:val="20"/>
        </w:rPr>
        <w:t>Source:</w:t>
      </w:r>
      <w:r w:rsidRPr="00AF386D">
        <w:rPr>
          <w:rFonts w:ascii="Times New Roman" w:hAnsi="Times New Roman"/>
          <w:sz w:val="20"/>
          <w:szCs w:val="20"/>
        </w:rPr>
        <w:t xml:space="preserve"> SIFMA</w:t>
      </w:r>
    </w:p>
    <w:p w:rsidR="006007F6" w:rsidRDefault="00AF386D" w:rsidP="00594F3E">
      <w:pPr>
        <w:spacing w:after="0" w:line="360" w:lineRule="auto"/>
        <w:rPr>
          <w:rFonts w:ascii="Times New Roman" w:hAnsi="Times New Roman"/>
          <w:b/>
        </w:rPr>
      </w:pPr>
      <w:r w:rsidRPr="00AF386D">
        <w:rPr>
          <w:rFonts w:ascii="Times New Roman" w:hAnsi="Times New Roman"/>
          <w:b/>
          <w:color w:val="000000"/>
        </w:rPr>
        <w:t>Figure 2</w:t>
      </w:r>
      <w:r w:rsidRPr="00AF386D">
        <w:rPr>
          <w:rFonts w:ascii="Times New Roman" w:hAnsi="Times New Roman"/>
          <w:color w:val="000000"/>
        </w:rPr>
        <w:t xml:space="preserve"> shows</w:t>
      </w:r>
      <w:r w:rsidRPr="00AF386D">
        <w:rPr>
          <w:rFonts w:ascii="Times New Roman" w:hAnsi="Times New Roman"/>
          <w:b/>
          <w:color w:val="000000"/>
        </w:rPr>
        <w:t xml:space="preserve"> </w:t>
      </w:r>
      <w:r w:rsidRPr="00AF386D">
        <w:rPr>
          <w:rFonts w:ascii="Times New Roman" w:hAnsi="Times New Roman"/>
          <w:color w:val="000000"/>
        </w:rPr>
        <w:t>the growth of</w:t>
      </w:r>
      <w:r w:rsidRPr="00AF386D">
        <w:rPr>
          <w:rFonts w:ascii="Times New Roman" w:hAnsi="Times New Roman"/>
          <w:b/>
          <w:color w:val="000000"/>
        </w:rPr>
        <w:t xml:space="preserve"> </w:t>
      </w:r>
      <w:r w:rsidRPr="00AF386D">
        <w:rPr>
          <w:rFonts w:ascii="Times New Roman" w:hAnsi="Times New Roman"/>
          <w:color w:val="000000"/>
        </w:rPr>
        <w:t>arbitrage and</w:t>
      </w:r>
      <w:r w:rsidRPr="00AF386D">
        <w:rPr>
          <w:rFonts w:ascii="Times New Roman" w:hAnsi="Times New Roman"/>
          <w:b/>
          <w:color w:val="000000"/>
        </w:rPr>
        <w:t xml:space="preserve"> </w:t>
      </w:r>
      <w:r w:rsidRPr="00AF386D">
        <w:rPr>
          <w:rFonts w:ascii="Times New Roman" w:hAnsi="Times New Roman"/>
          <w:color w:val="000000"/>
        </w:rPr>
        <w:t>balance sheet CDOs in the period of 2006-2007 from about $</w:t>
      </w:r>
      <w:r w:rsidR="005378C9">
        <w:rPr>
          <w:rFonts w:ascii="Times New Roman" w:hAnsi="Times New Roman"/>
          <w:color w:val="000000"/>
        </w:rPr>
        <w:t>5</w:t>
      </w:r>
      <w:r w:rsidRPr="00AF386D">
        <w:rPr>
          <w:rFonts w:ascii="Times New Roman" w:hAnsi="Times New Roman"/>
          <w:color w:val="000000"/>
        </w:rPr>
        <w:t>0bn in 2005Q</w:t>
      </w:r>
      <w:r w:rsidR="005378C9">
        <w:rPr>
          <w:rFonts w:ascii="Times New Roman" w:hAnsi="Times New Roman"/>
          <w:color w:val="000000"/>
        </w:rPr>
        <w:t>1</w:t>
      </w:r>
      <w:r w:rsidRPr="00AF386D">
        <w:rPr>
          <w:rFonts w:ascii="Times New Roman" w:hAnsi="Times New Roman"/>
          <w:color w:val="000000"/>
        </w:rPr>
        <w:t xml:space="preserve"> to over $160bn at its peak in 2007 Q2.  In particular the demand for subprime synthetic CDOs proved lucrative as their high yields contrasted well with the low cost of securing credit risk guarantees from insurers who had little regulatory capital in place.  In 2006-2007 the opportunity for negative CDS basis trades has also been singled out (see Deng et. al. 2010 and Hu 2007) for the growth of arbitrage and balance sheet CDOs. Under conditions of a negative CDS basis, banks in particular enjoyed not only savings in capital from reduced risk </w:t>
      </w:r>
      <w:proofErr w:type="gramStart"/>
      <w:r w:rsidRPr="00AF386D">
        <w:rPr>
          <w:rFonts w:ascii="Times New Roman" w:hAnsi="Times New Roman"/>
          <w:color w:val="000000"/>
        </w:rPr>
        <w:t>weights,</w:t>
      </w:r>
      <w:proofErr w:type="gramEnd"/>
      <w:r w:rsidRPr="00AF386D">
        <w:rPr>
          <w:rFonts w:ascii="Times New Roman" w:hAnsi="Times New Roman"/>
          <w:color w:val="000000"/>
        </w:rPr>
        <w:t xml:space="preserve"> they also received a positive net return from a joint CDO and CDS position. </w:t>
      </w:r>
      <w:r w:rsidR="00D223C3">
        <w:rPr>
          <w:rFonts w:ascii="Times New Roman" w:hAnsi="Times New Roman"/>
          <w:color w:val="000000"/>
        </w:rPr>
        <w:br/>
      </w:r>
      <w:r w:rsidR="0025027A">
        <w:rPr>
          <w:rFonts w:ascii="Times New Roman" w:hAnsi="Times New Roman"/>
          <w:color w:val="000000"/>
        </w:rPr>
        <w:lastRenderedPageBreak/>
        <w:br/>
      </w:r>
      <w:r w:rsidR="00B8772C">
        <w:rPr>
          <w:rFonts w:ascii="Times New Roman" w:hAnsi="Times New Roman"/>
        </w:rPr>
        <w:t>It</w:t>
      </w:r>
      <w:r w:rsidR="00B8772C" w:rsidRPr="00994DC2">
        <w:rPr>
          <w:rFonts w:ascii="Times New Roman" w:hAnsi="Times New Roman"/>
        </w:rPr>
        <w:t xml:space="preserve"> is important to note is that as early as 2003 it became mandatory for FDIC banks and trusts to report their securitization activity with explicit break downs for financial structured products and also their CDS positions. Indeed</w:t>
      </w:r>
      <w:r w:rsidR="00B8772C">
        <w:rPr>
          <w:rFonts w:ascii="Times New Roman" w:hAnsi="Times New Roman"/>
        </w:rPr>
        <w:t>,</w:t>
      </w:r>
      <w:r w:rsidR="00B8772C" w:rsidRPr="00994DC2">
        <w:rPr>
          <w:rFonts w:ascii="Times New Roman" w:hAnsi="Times New Roman"/>
        </w:rPr>
        <w:t xml:space="preserve"> US</w:t>
      </w:r>
      <w:r w:rsidR="00B8772C">
        <w:rPr>
          <w:rFonts w:ascii="Times New Roman" w:hAnsi="Times New Roman"/>
        </w:rPr>
        <w:t xml:space="preserve"> </w:t>
      </w:r>
      <w:r w:rsidR="00B8772C" w:rsidRPr="00994DC2">
        <w:rPr>
          <w:rFonts w:ascii="Times New Roman" w:hAnsi="Times New Roman"/>
        </w:rPr>
        <w:t xml:space="preserve">Joint Agencies Rule 66 Fed. Reg. 56914 and 59622 did endorse the need for the capital reduction sought by banks through the use of </w:t>
      </w:r>
      <w:r w:rsidR="00B8772C">
        <w:rPr>
          <w:rFonts w:ascii="Times New Roman" w:hAnsi="Times New Roman"/>
        </w:rPr>
        <w:t>CDS</w:t>
      </w:r>
      <w:r w:rsidR="00B8772C" w:rsidRPr="00994DC2">
        <w:rPr>
          <w:rFonts w:ascii="Times New Roman" w:hAnsi="Times New Roman"/>
        </w:rPr>
        <w:t xml:space="preserve"> to be made public and transparent.  However, the data in response to the question pertinent to assess policy incentives as to the amount of CDS protection taken out by banks and recognized as a guarantee for regulatory capital purposes has been reported in the FDIC Call Reports only from 2009 Q2.  As see</w:t>
      </w:r>
      <w:r w:rsidR="00B8772C">
        <w:rPr>
          <w:rFonts w:ascii="Times New Roman" w:hAnsi="Times New Roman"/>
        </w:rPr>
        <w:t>n from Figure 3</w:t>
      </w:r>
      <w:r w:rsidR="00B8772C" w:rsidRPr="00994DC2">
        <w:rPr>
          <w:rFonts w:ascii="Times New Roman" w:hAnsi="Times New Roman"/>
        </w:rPr>
        <w:t>, even in 2009 Q2 a substantial sum of £</w:t>
      </w:r>
      <w:r w:rsidR="00B8772C">
        <w:rPr>
          <w:rFonts w:ascii="Times New Roman" w:hAnsi="Times New Roman"/>
        </w:rPr>
        <w:t>88.56</w:t>
      </w:r>
      <w:r w:rsidR="00B8772C" w:rsidRPr="00994DC2">
        <w:rPr>
          <w:rFonts w:ascii="Times New Roman" w:hAnsi="Times New Roman"/>
        </w:rPr>
        <w:t xml:space="preserve"> </w:t>
      </w:r>
      <w:proofErr w:type="spellStart"/>
      <w:r w:rsidR="00B8772C" w:rsidRPr="00994DC2">
        <w:rPr>
          <w:rFonts w:ascii="Times New Roman" w:hAnsi="Times New Roman"/>
        </w:rPr>
        <w:t>bn</w:t>
      </w:r>
      <w:proofErr w:type="spellEnd"/>
      <w:r w:rsidR="00B8772C" w:rsidRPr="00994DC2">
        <w:rPr>
          <w:rFonts w:ascii="Times New Roman" w:hAnsi="Times New Roman"/>
        </w:rPr>
        <w:t xml:space="preserve"> of CDS protection </w:t>
      </w:r>
      <w:r w:rsidR="00B8772C">
        <w:rPr>
          <w:rFonts w:ascii="Times New Roman" w:hAnsi="Times New Roman"/>
        </w:rPr>
        <w:t xml:space="preserve">was </w:t>
      </w:r>
      <w:r w:rsidR="00B8772C" w:rsidRPr="00994DC2">
        <w:rPr>
          <w:rFonts w:ascii="Times New Roman" w:hAnsi="Times New Roman"/>
        </w:rPr>
        <w:t>purchase</w:t>
      </w:r>
      <w:r w:rsidR="00B8772C">
        <w:rPr>
          <w:rFonts w:ascii="Times New Roman" w:hAnsi="Times New Roman"/>
        </w:rPr>
        <w:t>d</w:t>
      </w:r>
      <w:r w:rsidR="00B8772C" w:rsidRPr="00994DC2">
        <w:rPr>
          <w:rFonts w:ascii="Times New Roman" w:hAnsi="Times New Roman"/>
        </w:rPr>
        <w:t xml:space="preserve"> for regulatory capital purposes </w:t>
      </w:r>
      <w:proofErr w:type="gramStart"/>
      <w:r w:rsidR="00B8772C" w:rsidRPr="00994DC2">
        <w:rPr>
          <w:rFonts w:ascii="Times New Roman" w:hAnsi="Times New Roman"/>
        </w:rPr>
        <w:t>by  reporting</w:t>
      </w:r>
      <w:proofErr w:type="gramEnd"/>
      <w:r w:rsidR="00B8772C" w:rsidRPr="00994DC2">
        <w:rPr>
          <w:rFonts w:ascii="Times New Roman" w:hAnsi="Times New Roman"/>
        </w:rPr>
        <w:t xml:space="preserve"> </w:t>
      </w:r>
      <w:r w:rsidR="00B8772C">
        <w:rPr>
          <w:rFonts w:ascii="Times New Roman" w:hAnsi="Times New Roman"/>
        </w:rPr>
        <w:t>FDIC US</w:t>
      </w:r>
      <w:r w:rsidR="00B8772C" w:rsidRPr="00994DC2">
        <w:rPr>
          <w:rFonts w:ascii="Times New Roman" w:hAnsi="Times New Roman"/>
        </w:rPr>
        <w:t xml:space="preserve"> banks.</w:t>
      </w:r>
      <w:r w:rsidR="00B8772C">
        <w:rPr>
          <w:rFonts w:ascii="Times New Roman" w:hAnsi="Times New Roman"/>
        </w:rPr>
        <w:t xml:space="preserve">  </w:t>
      </w:r>
      <w:r w:rsidR="0025027A">
        <w:rPr>
          <w:rFonts w:ascii="Times New Roman" w:hAnsi="Times New Roman"/>
          <w:color w:val="000000"/>
        </w:rPr>
        <w:br/>
      </w:r>
    </w:p>
    <w:p w:rsidR="006007F6" w:rsidRDefault="006007F6" w:rsidP="00594F3E">
      <w:pPr>
        <w:spacing w:after="0" w:line="360" w:lineRule="auto"/>
        <w:rPr>
          <w:rFonts w:ascii="Times New Roman" w:hAnsi="Times New Roman"/>
          <w:b/>
        </w:rPr>
      </w:pPr>
    </w:p>
    <w:p w:rsidR="00433D94" w:rsidRPr="00672DD5" w:rsidRDefault="00433D94" w:rsidP="00594F3E">
      <w:pPr>
        <w:spacing w:after="0" w:line="360" w:lineRule="auto"/>
        <w:rPr>
          <w:rFonts w:ascii="Times New Roman" w:hAnsi="Times New Roman"/>
          <w:b/>
        </w:rPr>
      </w:pPr>
      <w:r w:rsidRPr="00672DD5">
        <w:rPr>
          <w:rFonts w:ascii="Times New Roman" w:hAnsi="Times New Roman"/>
          <w:b/>
        </w:rPr>
        <w:t xml:space="preserve">Figure 3: Purchased </w:t>
      </w:r>
      <w:r w:rsidR="00805448" w:rsidRPr="00672DD5">
        <w:rPr>
          <w:rFonts w:ascii="Times New Roman" w:hAnsi="Times New Roman"/>
          <w:b/>
        </w:rPr>
        <w:t xml:space="preserve">CDS </w:t>
      </w:r>
      <w:r w:rsidRPr="00672DD5">
        <w:rPr>
          <w:rFonts w:ascii="Times New Roman" w:hAnsi="Times New Roman"/>
          <w:b/>
        </w:rPr>
        <w:t xml:space="preserve">protection that is recognized as a guarantee for regulatory capital purposes by the Top 5 Banks and All Reporting Banks 2009Q2 to 2010Q2 </w:t>
      </w:r>
      <w:r w:rsidR="005C3A90" w:rsidRPr="00672DD5">
        <w:rPr>
          <w:rStyle w:val="FootnoteReference"/>
          <w:rFonts w:ascii="Times New Roman" w:hAnsi="Times New Roman"/>
          <w:b/>
        </w:rPr>
        <w:footnoteReference w:id="9"/>
      </w:r>
    </w:p>
    <w:p w:rsidR="004271A9" w:rsidRDefault="004271A9" w:rsidP="00C3641C">
      <w:pPr>
        <w:pStyle w:val="Default"/>
        <w:spacing w:line="360" w:lineRule="auto"/>
        <w:rPr>
          <w:rFonts w:ascii="Times New Roman" w:hAnsi="Times New Roman" w:cs="Times New Roman"/>
          <w:sz w:val="22"/>
          <w:szCs w:val="22"/>
        </w:rPr>
      </w:pPr>
      <w:r>
        <w:rPr>
          <w:noProof/>
        </w:rPr>
        <w:drawing>
          <wp:inline distT="0" distB="0" distL="0" distR="0">
            <wp:extent cx="5543550" cy="3152775"/>
            <wp:effectExtent l="19050" t="0" r="19050" b="0"/>
            <wp:docPr id="1" name="Object 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271A9" w:rsidRPr="00B8772C" w:rsidRDefault="00805448" w:rsidP="00C3641C">
      <w:pPr>
        <w:pStyle w:val="Default"/>
        <w:spacing w:line="360" w:lineRule="auto"/>
        <w:rPr>
          <w:rFonts w:ascii="Times New Roman" w:hAnsi="Times New Roman" w:cs="Times New Roman"/>
          <w:sz w:val="20"/>
          <w:szCs w:val="20"/>
        </w:rPr>
      </w:pPr>
      <w:r w:rsidRPr="00B8772C">
        <w:rPr>
          <w:rFonts w:ascii="Times New Roman" w:hAnsi="Times New Roman" w:cs="Times New Roman"/>
          <w:b/>
          <w:sz w:val="20"/>
          <w:szCs w:val="20"/>
        </w:rPr>
        <w:t xml:space="preserve">Source: </w:t>
      </w:r>
      <w:r w:rsidRPr="00B8772C">
        <w:rPr>
          <w:rFonts w:ascii="Times New Roman" w:hAnsi="Times New Roman" w:cs="Times New Roman"/>
          <w:sz w:val="20"/>
          <w:szCs w:val="20"/>
        </w:rPr>
        <w:t xml:space="preserve">FDIC Call Reports  </w:t>
      </w:r>
    </w:p>
    <w:p w:rsidR="00FE316D" w:rsidRPr="00471D8C" w:rsidRDefault="0025027A" w:rsidP="0025027A">
      <w:pPr>
        <w:pStyle w:val="Default"/>
        <w:spacing w:line="360" w:lineRule="auto"/>
        <w:rPr>
          <w:rFonts w:ascii="Times New Roman" w:hAnsi="Times New Roman"/>
          <w:b/>
        </w:rPr>
      </w:pPr>
      <w:r>
        <w:rPr>
          <w:rFonts w:ascii="Times New Roman" w:hAnsi="Times New Roman"/>
        </w:rPr>
        <w:t>By our calculations, which will be explained, this implies capital savings of a minimum of $2.13 bn.</w:t>
      </w:r>
      <w:r>
        <w:rPr>
          <w:rStyle w:val="FootnoteReference"/>
          <w:rFonts w:ascii="Times New Roman" w:hAnsi="Times New Roman"/>
        </w:rPr>
        <w:footnoteReference w:id="10"/>
      </w:r>
      <w:r>
        <w:rPr>
          <w:rFonts w:ascii="Times New Roman" w:hAnsi="Times New Roman"/>
        </w:rPr>
        <w:t xml:space="preserve"> Note, JP Morgan was claiming the giant share of this, followed by Citibank.  Also the RMBS assets on the balance sheets of these same banks in 2009 Q2 was about $510 </w:t>
      </w:r>
      <w:proofErr w:type="spellStart"/>
      <w:r>
        <w:rPr>
          <w:rFonts w:ascii="Times New Roman" w:hAnsi="Times New Roman"/>
        </w:rPr>
        <w:t>bn</w:t>
      </w:r>
      <w:proofErr w:type="spellEnd"/>
      <w:r>
        <w:rPr>
          <w:rFonts w:ascii="Times New Roman" w:hAnsi="Times New Roman"/>
        </w:rPr>
        <w:t xml:space="preserve"> making the underlying RMBS for which CDS protection was being purchased at about 17 %. </w:t>
      </w:r>
      <w:r>
        <w:rPr>
          <w:rFonts w:ascii="Times New Roman" w:hAnsi="Times New Roman"/>
        </w:rPr>
        <w:lastRenderedPageBreak/>
        <w:t xml:space="preserve">This was found to fall to about 4% by 2010 Q4. </w:t>
      </w:r>
      <w:r>
        <w:rPr>
          <w:rFonts w:ascii="Times New Roman" w:hAnsi="Times New Roman"/>
        </w:rPr>
        <w:br/>
      </w:r>
      <w:r>
        <w:rPr>
          <w:rFonts w:ascii="Times New Roman" w:hAnsi="Times New Roman"/>
        </w:rPr>
        <w:br/>
      </w:r>
      <w:r>
        <w:rPr>
          <w:rFonts w:ascii="Times New Roman" w:hAnsi="Times New Roman" w:cs="Times New Roman"/>
          <w:sz w:val="22"/>
          <w:szCs w:val="22"/>
        </w:rPr>
        <w:t>U</w:t>
      </w:r>
      <w:r w:rsidR="00C31C1A" w:rsidRPr="00994DC2">
        <w:rPr>
          <w:rFonts w:ascii="Times New Roman" w:hAnsi="Times New Roman" w:cs="Times New Roman"/>
          <w:sz w:val="22"/>
          <w:szCs w:val="22"/>
        </w:rPr>
        <w:t xml:space="preserve">nlike remote SPV sales of RMBS, it is far from the case that synthetic securitization and CDS activity of banks was to escape capital regulation. </w:t>
      </w:r>
      <w:r>
        <w:rPr>
          <w:rFonts w:ascii="Times New Roman" w:hAnsi="Times New Roman" w:cs="Times New Roman"/>
          <w:sz w:val="22"/>
          <w:szCs w:val="22"/>
        </w:rPr>
        <w:t>Indeed, it was fully in</w:t>
      </w:r>
      <w:r w:rsidR="00B876A9">
        <w:rPr>
          <w:rFonts w:ascii="Times New Roman" w:hAnsi="Times New Roman" w:cs="Times New Roman"/>
          <w:sz w:val="22"/>
          <w:szCs w:val="22"/>
        </w:rPr>
        <w:t xml:space="preserve"> </w:t>
      </w:r>
      <w:r>
        <w:rPr>
          <w:rFonts w:ascii="Times New Roman" w:hAnsi="Times New Roman" w:cs="Times New Roman"/>
          <w:sz w:val="22"/>
          <w:szCs w:val="22"/>
        </w:rPr>
        <w:t xml:space="preserve">compliance </w:t>
      </w:r>
      <w:r w:rsidR="00A034D2">
        <w:rPr>
          <w:rFonts w:ascii="Times New Roman" w:hAnsi="Times New Roman" w:cs="Times New Roman"/>
          <w:sz w:val="22"/>
          <w:szCs w:val="22"/>
        </w:rPr>
        <w:t>with</w:t>
      </w:r>
      <w:r>
        <w:rPr>
          <w:rFonts w:ascii="Times New Roman" w:hAnsi="Times New Roman" w:cs="Times New Roman"/>
          <w:sz w:val="22"/>
          <w:szCs w:val="22"/>
        </w:rPr>
        <w:t xml:space="preserve"> the regulation. </w:t>
      </w:r>
      <w:r w:rsidR="00B27B4D" w:rsidRPr="00994DC2">
        <w:rPr>
          <w:rFonts w:ascii="Times New Roman" w:hAnsi="Times New Roman" w:cs="Times New Roman"/>
          <w:sz w:val="22"/>
          <w:szCs w:val="22"/>
        </w:rPr>
        <w:t>For instance</w:t>
      </w:r>
      <w:r w:rsidR="00F86614">
        <w:rPr>
          <w:rFonts w:ascii="Times New Roman" w:hAnsi="Times New Roman" w:cs="Times New Roman"/>
          <w:sz w:val="22"/>
          <w:szCs w:val="22"/>
        </w:rPr>
        <w:t>,</w:t>
      </w:r>
      <w:r w:rsidR="00B27B4D" w:rsidRPr="00994DC2">
        <w:rPr>
          <w:rFonts w:ascii="Times New Roman" w:hAnsi="Times New Roman" w:cs="Times New Roman"/>
          <w:sz w:val="22"/>
          <w:szCs w:val="22"/>
        </w:rPr>
        <w:t xml:space="preserve"> </w:t>
      </w:r>
      <w:r w:rsidR="00C31C1A" w:rsidRPr="00994DC2">
        <w:rPr>
          <w:rFonts w:ascii="Times New Roman" w:hAnsi="Times New Roman" w:cs="Times New Roman"/>
          <w:sz w:val="22"/>
          <w:szCs w:val="22"/>
        </w:rPr>
        <w:t>Part V Sections 7 and 43 on synthetic securitization</w:t>
      </w:r>
      <w:r w:rsidR="00B27B4D" w:rsidRPr="00994DC2">
        <w:rPr>
          <w:rFonts w:ascii="Times New Roman" w:hAnsi="Times New Roman" w:cs="Times New Roman"/>
          <w:sz w:val="22"/>
          <w:szCs w:val="22"/>
        </w:rPr>
        <w:t xml:space="preserve"> </w:t>
      </w:r>
      <w:r w:rsidR="00E631E3">
        <w:rPr>
          <w:rFonts w:ascii="Times New Roman" w:hAnsi="Times New Roman" w:cs="Times New Roman"/>
          <w:sz w:val="22"/>
          <w:szCs w:val="22"/>
        </w:rPr>
        <w:t xml:space="preserve">in the </w:t>
      </w:r>
      <w:r w:rsidR="00B27B4D" w:rsidRPr="00994DC2">
        <w:rPr>
          <w:rFonts w:ascii="Times New Roman" w:hAnsi="Times New Roman" w:cs="Times New Roman"/>
          <w:sz w:val="22"/>
          <w:szCs w:val="22"/>
        </w:rPr>
        <w:t>Federal Reserve Board Basel II Capital Accord Notice of Proposed Rulemaking (NPR) and supporting Documents (2006)</w:t>
      </w:r>
      <w:r w:rsidR="00B27B4D" w:rsidRPr="00994DC2">
        <w:rPr>
          <w:rStyle w:val="FootnoteReference"/>
          <w:rFonts w:ascii="Times New Roman" w:hAnsi="Times New Roman" w:cs="Times New Roman"/>
          <w:sz w:val="22"/>
          <w:szCs w:val="22"/>
        </w:rPr>
        <w:t xml:space="preserve"> </w:t>
      </w:r>
      <w:r w:rsidR="00B27B4D" w:rsidRPr="00994DC2">
        <w:rPr>
          <w:rStyle w:val="FootnoteReference"/>
          <w:rFonts w:ascii="Times New Roman" w:hAnsi="Times New Roman" w:cs="Times New Roman"/>
          <w:sz w:val="22"/>
          <w:szCs w:val="22"/>
        </w:rPr>
        <w:footnoteReference w:id="11"/>
      </w:r>
      <w:r w:rsidR="00C31C1A" w:rsidRPr="00994DC2">
        <w:rPr>
          <w:rFonts w:ascii="Times New Roman" w:hAnsi="Times New Roman" w:cs="Times New Roman"/>
          <w:sz w:val="22"/>
          <w:szCs w:val="22"/>
        </w:rPr>
        <w:t xml:space="preserve"> encourages the three following features that mark th</w:t>
      </w:r>
      <w:r w:rsidR="00E631E3">
        <w:rPr>
          <w:rFonts w:ascii="Times New Roman" w:hAnsi="Times New Roman" w:cs="Times New Roman"/>
          <w:sz w:val="22"/>
          <w:szCs w:val="22"/>
        </w:rPr>
        <w:t xml:space="preserve">e 2007 </w:t>
      </w:r>
      <w:r w:rsidR="00C31C1A" w:rsidRPr="00994DC2">
        <w:rPr>
          <w:rFonts w:ascii="Times New Roman" w:hAnsi="Times New Roman" w:cs="Times New Roman"/>
          <w:sz w:val="22"/>
          <w:szCs w:val="22"/>
        </w:rPr>
        <w:t>crisis, as best practice in banks on how to reduce risk based capital. There was encouragement to use external ratings by so called Nationally Recognized Statistical Rating Organization (NRSRO) agencies so that securitizations can be retained on the bank’s own balance sheet with reduced risk capital requirements. The mainstay of the ratings based assessment of risk in banks is to assign the risk weight for claims against an obligor or reference assets according to (i) the credit rating of obligors or the reference assets based on at least two external ratings given by NRSROs, or (ii) the credit ratings of the credit risk protection providers primarily in the context of credit default swaps. In</w:t>
      </w:r>
      <w:r w:rsidR="00B27B4D" w:rsidRPr="00994DC2">
        <w:rPr>
          <w:rFonts w:ascii="Times New Roman" w:hAnsi="Times New Roman" w:cs="Times New Roman"/>
          <w:sz w:val="22"/>
          <w:szCs w:val="22"/>
        </w:rPr>
        <w:t xml:space="preserve"> fact</w:t>
      </w:r>
      <w:r w:rsidR="00036229" w:rsidRPr="00994DC2">
        <w:rPr>
          <w:rFonts w:ascii="Times New Roman" w:hAnsi="Times New Roman" w:cs="Times New Roman"/>
          <w:sz w:val="22"/>
          <w:szCs w:val="22"/>
        </w:rPr>
        <w:t>,</w:t>
      </w:r>
      <w:r w:rsidR="00B27B4D" w:rsidRPr="00994DC2">
        <w:rPr>
          <w:rFonts w:ascii="Times New Roman" w:hAnsi="Times New Roman" w:cs="Times New Roman"/>
          <w:sz w:val="22"/>
          <w:szCs w:val="22"/>
        </w:rPr>
        <w:t xml:space="preserve"> as seen from </w:t>
      </w:r>
      <w:r w:rsidR="00615BCA" w:rsidRPr="00994DC2">
        <w:rPr>
          <w:rFonts w:ascii="Times New Roman" w:hAnsi="Times New Roman" w:cs="Times New Roman"/>
          <w:sz w:val="22"/>
          <w:szCs w:val="22"/>
        </w:rPr>
        <w:t xml:space="preserve">1999 documents on the </w:t>
      </w:r>
      <w:r w:rsidR="00B27B4D" w:rsidRPr="00994DC2">
        <w:rPr>
          <w:rFonts w:ascii="Times New Roman" w:hAnsi="Times New Roman" w:cs="Times New Roman"/>
          <w:iCs/>
          <w:sz w:val="22"/>
          <w:szCs w:val="22"/>
        </w:rPr>
        <w:t>capital treatment described in the</w:t>
      </w:r>
      <w:r w:rsidR="00B27B4D" w:rsidRPr="00994DC2">
        <w:rPr>
          <w:rFonts w:ascii="Times New Roman" w:hAnsi="Times New Roman" w:cs="Times New Roman"/>
          <w:i/>
          <w:iCs/>
          <w:sz w:val="22"/>
          <w:szCs w:val="22"/>
        </w:rPr>
        <w:t xml:space="preserve"> Synthetic Collateralized Loan Obligations guidance</w:t>
      </w:r>
      <w:r w:rsidR="00B27B4D" w:rsidRPr="00994DC2">
        <w:rPr>
          <w:rFonts w:ascii="Times New Roman" w:hAnsi="Times New Roman" w:cs="Times New Roman"/>
          <w:iCs/>
          <w:sz w:val="22"/>
          <w:szCs w:val="22"/>
        </w:rPr>
        <w:t xml:space="preserve"> published by the OCC (OCC 99-43) and the Board (SR 99-32) in November 1999 </w:t>
      </w:r>
      <w:r w:rsidR="00615BCA" w:rsidRPr="00994DC2">
        <w:rPr>
          <w:rFonts w:ascii="Times New Roman" w:hAnsi="Times New Roman" w:cs="Times New Roman"/>
          <w:sz w:val="22"/>
          <w:szCs w:val="22"/>
        </w:rPr>
        <w:t xml:space="preserve">and the extent to which it is affected by the </w:t>
      </w:r>
      <w:r w:rsidR="0024268A">
        <w:rPr>
          <w:rFonts w:ascii="Times New Roman" w:hAnsi="Times New Roman" w:cs="Times New Roman"/>
          <w:sz w:val="22"/>
          <w:szCs w:val="22"/>
        </w:rPr>
        <w:t xml:space="preserve">2002 </w:t>
      </w:r>
      <w:r w:rsidR="00615BCA" w:rsidRPr="00994DC2">
        <w:rPr>
          <w:rFonts w:ascii="Times New Roman" w:hAnsi="Times New Roman" w:cs="Times New Roman"/>
          <w:sz w:val="22"/>
          <w:szCs w:val="22"/>
        </w:rPr>
        <w:t xml:space="preserve">Final Rule </w:t>
      </w:r>
      <w:r w:rsidR="00036229" w:rsidRPr="00994DC2">
        <w:rPr>
          <w:rFonts w:ascii="Times New Roman" w:hAnsi="Times New Roman" w:cs="Times New Roman"/>
          <w:sz w:val="22"/>
          <w:szCs w:val="22"/>
        </w:rPr>
        <w:t xml:space="preserve">66 Fed. Reg. 56914, it is clear that the latter expressly permits “inferred” ratings to apply </w:t>
      </w:r>
      <w:r w:rsidR="00EC2604">
        <w:rPr>
          <w:rFonts w:ascii="Times New Roman" w:hAnsi="Times New Roman" w:cs="Times New Roman"/>
          <w:sz w:val="22"/>
          <w:szCs w:val="22"/>
        </w:rPr>
        <w:t>to</w:t>
      </w:r>
      <w:r w:rsidR="00036229" w:rsidRPr="00994DC2">
        <w:rPr>
          <w:rFonts w:ascii="Times New Roman" w:hAnsi="Times New Roman" w:cs="Times New Roman"/>
          <w:sz w:val="22"/>
          <w:szCs w:val="22"/>
        </w:rPr>
        <w:t xml:space="preserve"> senior synthetic CMO tranches retained by banks. </w:t>
      </w:r>
      <w:r w:rsidR="00036229" w:rsidRPr="00994DC2">
        <w:rPr>
          <w:rStyle w:val="FootnoteReference"/>
          <w:rFonts w:ascii="Times New Roman" w:hAnsi="Times New Roman" w:cs="Times New Roman"/>
          <w:sz w:val="22"/>
          <w:szCs w:val="22"/>
        </w:rPr>
        <w:footnoteReference w:id="12"/>
      </w:r>
      <w:r w:rsidR="00036229" w:rsidRPr="00994DC2">
        <w:rPr>
          <w:rFonts w:ascii="Times New Roman" w:hAnsi="Times New Roman" w:cs="Times New Roman"/>
          <w:sz w:val="22"/>
          <w:szCs w:val="22"/>
        </w:rPr>
        <w:t xml:space="preserve"> </w:t>
      </w:r>
      <w:r w:rsidR="00615BCA" w:rsidRPr="00994DC2">
        <w:rPr>
          <w:rFonts w:ascii="Times New Roman" w:hAnsi="Times New Roman" w:cs="Times New Roman"/>
          <w:sz w:val="22"/>
          <w:szCs w:val="22"/>
        </w:rPr>
        <w:t xml:space="preserve">In other words, </w:t>
      </w:r>
      <w:r w:rsidR="0024268A">
        <w:rPr>
          <w:rFonts w:ascii="Times New Roman" w:hAnsi="Times New Roman" w:cs="Times New Roman"/>
          <w:sz w:val="22"/>
          <w:szCs w:val="22"/>
        </w:rPr>
        <w:t>as stated in Fed Reg. 59614, “</w:t>
      </w:r>
      <w:r w:rsidR="00615BCA" w:rsidRPr="00994DC2">
        <w:rPr>
          <w:rFonts w:ascii="Times New Roman" w:hAnsi="Times New Roman" w:cs="Times New Roman"/>
          <w:sz w:val="22"/>
          <w:szCs w:val="22"/>
        </w:rPr>
        <w:t>the sponsoring banking organization no longer is required to purchase protection on the senior loss position in order to assign a 20 percent risk weight to that position. Rather, it can assign a 20 percent risk weight based on the inferred rating of the subordinate credit linked notes.</w:t>
      </w:r>
      <w:r w:rsidR="0024268A">
        <w:rPr>
          <w:rFonts w:ascii="Times New Roman" w:hAnsi="Times New Roman" w:cs="Times New Roman"/>
          <w:sz w:val="22"/>
          <w:szCs w:val="22"/>
        </w:rPr>
        <w:t>”</w:t>
      </w:r>
      <w:r>
        <w:rPr>
          <w:rFonts w:ascii="Times New Roman" w:hAnsi="Times New Roman" w:cs="Times New Roman"/>
          <w:sz w:val="22"/>
          <w:szCs w:val="22"/>
        </w:rPr>
        <w:br/>
      </w:r>
      <w:r w:rsidR="00AE4FF6" w:rsidRPr="00471D8C">
        <w:rPr>
          <w:rFonts w:ascii="Times New Roman" w:hAnsi="Times New Roman" w:cs="Times New Roman"/>
          <w:sz w:val="22"/>
          <w:szCs w:val="22"/>
        </w:rPr>
        <w:br/>
      </w:r>
      <w:r w:rsidR="00FE316D" w:rsidRPr="00471D8C">
        <w:rPr>
          <w:rFonts w:ascii="Times New Roman" w:hAnsi="Times New Roman"/>
          <w:b/>
        </w:rPr>
        <w:t>2.2 Synt</w:t>
      </w:r>
      <w:r w:rsidR="00DC4D25" w:rsidRPr="00471D8C">
        <w:rPr>
          <w:rFonts w:ascii="Times New Roman" w:hAnsi="Times New Roman"/>
          <w:b/>
        </w:rPr>
        <w:t xml:space="preserve">hetic RMBS Structure </w:t>
      </w:r>
      <w:proofErr w:type="gramStart"/>
      <w:r w:rsidR="00DC4D25" w:rsidRPr="00471D8C">
        <w:rPr>
          <w:rFonts w:ascii="Times New Roman" w:hAnsi="Times New Roman"/>
          <w:b/>
        </w:rPr>
        <w:t>For</w:t>
      </w:r>
      <w:proofErr w:type="gramEnd"/>
      <w:r w:rsidR="00DC4D25" w:rsidRPr="00471D8C">
        <w:rPr>
          <w:rFonts w:ascii="Times New Roman" w:hAnsi="Times New Roman"/>
          <w:b/>
        </w:rPr>
        <w:t xml:space="preserve"> Capital Arbitrage</w:t>
      </w:r>
    </w:p>
    <w:p w:rsidR="00F07E34" w:rsidRPr="00AC1CC9" w:rsidRDefault="00036229" w:rsidP="00AC1CC9">
      <w:pPr>
        <w:spacing w:line="360" w:lineRule="auto"/>
        <w:rPr>
          <w:rFonts w:ascii="Times New Roman" w:hAnsi="Times New Roman"/>
          <w:b/>
        </w:rPr>
      </w:pPr>
      <w:r w:rsidRPr="00994DC2">
        <w:rPr>
          <w:rFonts w:ascii="Times New Roman" w:hAnsi="Times New Roman"/>
          <w:color w:val="000000"/>
          <w:lang w:eastAsia="en-GB"/>
        </w:rPr>
        <w:t xml:space="preserve">Based on the above discussion, we aim to determine the capital saved </w:t>
      </w:r>
      <w:r w:rsidR="00DC4D25">
        <w:rPr>
          <w:rFonts w:ascii="Times New Roman" w:hAnsi="Times New Roman"/>
          <w:color w:val="000000"/>
          <w:lang w:eastAsia="en-GB"/>
        </w:rPr>
        <w:t xml:space="preserve">through the process of using CDS for capital arbitrage </w:t>
      </w:r>
      <w:r w:rsidR="00E90DBE">
        <w:rPr>
          <w:rFonts w:ascii="Times New Roman" w:hAnsi="Times New Roman"/>
          <w:color w:val="000000"/>
          <w:lang w:eastAsia="en-GB"/>
        </w:rPr>
        <w:t xml:space="preserve">in the context of </w:t>
      </w:r>
      <w:r w:rsidR="00A8207E">
        <w:rPr>
          <w:rFonts w:ascii="Times New Roman" w:hAnsi="Times New Roman"/>
          <w:color w:val="000000"/>
          <w:lang w:eastAsia="en-GB"/>
        </w:rPr>
        <w:t>the rules for synthetic securitization</w:t>
      </w:r>
      <w:r w:rsidR="008F1C45">
        <w:rPr>
          <w:rFonts w:ascii="Times New Roman" w:hAnsi="Times New Roman"/>
          <w:color w:val="000000"/>
          <w:lang w:eastAsia="en-GB"/>
        </w:rPr>
        <w:t xml:space="preserve">. </w:t>
      </w:r>
      <w:r w:rsidR="00DC4D25">
        <w:rPr>
          <w:rFonts w:ascii="Times New Roman" w:hAnsi="Times New Roman"/>
          <w:color w:val="000000"/>
          <w:lang w:eastAsia="en-GB"/>
        </w:rPr>
        <w:t xml:space="preserve"> </w:t>
      </w:r>
      <w:r w:rsidR="006057C0" w:rsidRPr="00994DC2">
        <w:rPr>
          <w:rFonts w:ascii="Times New Roman" w:hAnsi="Times New Roman"/>
        </w:rPr>
        <w:t xml:space="preserve">Consider the generic partially funded synthetic CDO structure depicted in </w:t>
      </w:r>
      <w:r w:rsidR="006057C0" w:rsidRPr="00994DC2">
        <w:rPr>
          <w:rFonts w:ascii="Times New Roman" w:hAnsi="Times New Roman"/>
          <w:b/>
        </w:rPr>
        <w:t xml:space="preserve">Figure </w:t>
      </w:r>
      <w:r w:rsidR="005F7FE8" w:rsidRPr="00994DC2">
        <w:rPr>
          <w:rFonts w:ascii="Times New Roman" w:hAnsi="Times New Roman"/>
          <w:b/>
        </w:rPr>
        <w:t>2</w:t>
      </w:r>
      <w:r w:rsidR="006057C0" w:rsidRPr="00994DC2">
        <w:rPr>
          <w:rFonts w:ascii="Times New Roman" w:hAnsi="Times New Roman"/>
        </w:rPr>
        <w:t xml:space="preserve"> </w:t>
      </w:r>
      <w:r w:rsidR="008F1C45">
        <w:rPr>
          <w:rFonts w:ascii="Times New Roman" w:hAnsi="Times New Roman"/>
        </w:rPr>
        <w:t xml:space="preserve">based on an example in the </w:t>
      </w:r>
      <w:r w:rsidR="008F1C45" w:rsidRPr="00994DC2">
        <w:rPr>
          <w:rFonts w:ascii="Times New Roman" w:hAnsi="Times New Roman"/>
          <w:color w:val="000000"/>
          <w:lang w:eastAsia="en-GB"/>
        </w:rPr>
        <w:t xml:space="preserve">1999 </w:t>
      </w:r>
      <w:r w:rsidR="008F1C45" w:rsidRPr="00994DC2">
        <w:rPr>
          <w:rFonts w:ascii="Times New Roman" w:hAnsi="Times New Roman"/>
          <w:i/>
        </w:rPr>
        <w:t>OCC Bulletin 99-43a</w:t>
      </w:r>
      <w:r w:rsidR="008F1C45" w:rsidRPr="00994DC2">
        <w:rPr>
          <w:rFonts w:ascii="Times New Roman" w:hAnsi="Times New Roman"/>
          <w:color w:val="000000"/>
          <w:lang w:eastAsia="en-GB"/>
        </w:rPr>
        <w:t xml:space="preserve"> </w:t>
      </w:r>
      <w:r w:rsidR="006057C0" w:rsidRPr="00994DC2">
        <w:rPr>
          <w:rFonts w:ascii="Times New Roman" w:hAnsi="Times New Roman"/>
        </w:rPr>
        <w:t>whereby, the originating bank’s reference portfolio consisting of $5bn in residential mortgage assets is divided into an unfunded $4.55bn</w:t>
      </w:r>
      <w:r w:rsidR="001F510C" w:rsidRPr="00994DC2">
        <w:rPr>
          <w:rFonts w:ascii="Times New Roman" w:hAnsi="Times New Roman"/>
        </w:rPr>
        <w:t xml:space="preserve"> (91%)</w:t>
      </w:r>
      <w:r w:rsidR="006057C0" w:rsidRPr="00994DC2">
        <w:rPr>
          <w:rFonts w:ascii="Times New Roman" w:hAnsi="Times New Roman"/>
        </w:rPr>
        <w:t xml:space="preserve"> super-senior position, a $400m</w:t>
      </w:r>
      <w:r w:rsidR="001F510C" w:rsidRPr="00994DC2">
        <w:rPr>
          <w:rFonts w:ascii="Times New Roman" w:hAnsi="Times New Roman"/>
        </w:rPr>
        <w:t xml:space="preserve"> (8%)</w:t>
      </w:r>
      <w:r w:rsidR="006057C0" w:rsidRPr="00994DC2">
        <w:rPr>
          <w:rFonts w:ascii="Times New Roman" w:hAnsi="Times New Roman"/>
        </w:rPr>
        <w:t xml:space="preserve"> funded mezzanine position and a retained $50m </w:t>
      </w:r>
      <w:r w:rsidR="001F510C" w:rsidRPr="00994DC2">
        <w:rPr>
          <w:rFonts w:ascii="Times New Roman" w:hAnsi="Times New Roman"/>
        </w:rPr>
        <w:t xml:space="preserve">(1%) </w:t>
      </w:r>
      <w:r w:rsidR="006057C0" w:rsidRPr="00994DC2">
        <w:rPr>
          <w:rFonts w:ascii="Times New Roman" w:hAnsi="Times New Roman"/>
        </w:rPr>
        <w:t xml:space="preserve">first loss/equity position. Note that a transaction of this form enables the sponsoring bank to significantly reduce its regulatory capital requirements. </w:t>
      </w:r>
      <w:r w:rsidR="00DE1959" w:rsidRPr="00994DC2">
        <w:rPr>
          <w:rFonts w:ascii="Times New Roman" w:hAnsi="Times New Roman"/>
        </w:rPr>
        <w:t xml:space="preserve"> </w:t>
      </w:r>
      <w:r w:rsidR="0024268A">
        <w:rPr>
          <w:rFonts w:ascii="Times New Roman" w:hAnsi="Times New Roman"/>
        </w:rPr>
        <w:lastRenderedPageBreak/>
        <w:t xml:space="preserve">Using the </w:t>
      </w:r>
      <w:r w:rsidR="00DE1959" w:rsidRPr="00994DC2">
        <w:rPr>
          <w:rFonts w:ascii="Times New Roman" w:hAnsi="Times New Roman"/>
        </w:rPr>
        <w:t>2002 Final Rule 66 Fed</w:t>
      </w:r>
      <w:r w:rsidR="00E631E3">
        <w:rPr>
          <w:rFonts w:ascii="Times New Roman" w:hAnsi="Times New Roman"/>
        </w:rPr>
        <w:t xml:space="preserve">eral </w:t>
      </w:r>
      <w:r w:rsidR="00DE1959" w:rsidRPr="00994DC2">
        <w:rPr>
          <w:rFonts w:ascii="Times New Roman" w:hAnsi="Times New Roman"/>
        </w:rPr>
        <w:t>Reg</w:t>
      </w:r>
      <w:r w:rsidR="00E631E3">
        <w:rPr>
          <w:rFonts w:ascii="Times New Roman" w:hAnsi="Times New Roman"/>
        </w:rPr>
        <w:t>ulation No.</w:t>
      </w:r>
      <w:r w:rsidR="00DE1959" w:rsidRPr="00994DC2">
        <w:rPr>
          <w:rFonts w:ascii="Times New Roman" w:hAnsi="Times New Roman"/>
        </w:rPr>
        <w:t xml:space="preserve"> 56914, </w:t>
      </w:r>
      <w:r w:rsidR="0024268A">
        <w:rPr>
          <w:rFonts w:ascii="Times New Roman" w:hAnsi="Times New Roman"/>
        </w:rPr>
        <w:t xml:space="preserve">we </w:t>
      </w:r>
      <w:r w:rsidR="00DE1959" w:rsidRPr="00994DC2">
        <w:rPr>
          <w:rFonts w:ascii="Times New Roman" w:hAnsi="Times New Roman"/>
          <w:lang w:eastAsia="en-GB"/>
        </w:rPr>
        <w:t>assign a 20 percent risk weight to th</w:t>
      </w:r>
      <w:r w:rsidR="00B00B7D">
        <w:rPr>
          <w:rFonts w:ascii="Times New Roman" w:hAnsi="Times New Roman"/>
          <w:lang w:eastAsia="en-GB"/>
        </w:rPr>
        <w:t xml:space="preserve">e </w:t>
      </w:r>
      <w:r w:rsidR="0024268A">
        <w:rPr>
          <w:rFonts w:ascii="Times New Roman" w:hAnsi="Times New Roman"/>
          <w:lang w:eastAsia="en-GB"/>
        </w:rPr>
        <w:t xml:space="preserve">super senior </w:t>
      </w:r>
      <w:r w:rsidR="00DE1959" w:rsidRPr="00994DC2">
        <w:rPr>
          <w:rFonts w:ascii="Times New Roman" w:hAnsi="Times New Roman"/>
          <w:lang w:eastAsia="en-GB"/>
        </w:rPr>
        <w:t>position based on the inferred rating of the subordinate credit linked notes</w:t>
      </w:r>
      <w:r w:rsidR="0024268A">
        <w:rPr>
          <w:rFonts w:ascii="Times New Roman" w:hAnsi="Times New Roman"/>
          <w:lang w:eastAsia="en-GB"/>
        </w:rPr>
        <w:t xml:space="preserve">. </w:t>
      </w:r>
      <w:r w:rsidR="00DE1959" w:rsidRPr="00994DC2">
        <w:rPr>
          <w:rFonts w:ascii="Times New Roman" w:hAnsi="Times New Roman"/>
          <w:lang w:eastAsia="en-GB"/>
        </w:rPr>
        <w:t xml:space="preserve">This follows from the </w:t>
      </w:r>
      <w:r w:rsidR="00B00B7D">
        <w:rPr>
          <w:rFonts w:ascii="Times New Roman" w:hAnsi="Times New Roman"/>
          <w:lang w:eastAsia="en-GB"/>
        </w:rPr>
        <w:t xml:space="preserve">assumption of the </w:t>
      </w:r>
      <w:r w:rsidR="00DE1959" w:rsidRPr="00994DC2">
        <w:rPr>
          <w:rFonts w:ascii="Times New Roman" w:hAnsi="Times New Roman"/>
          <w:lang w:eastAsia="en-GB"/>
        </w:rPr>
        <w:t xml:space="preserve">secure funded nature of the mezzanine tranche. </w:t>
      </w:r>
      <w:r w:rsidR="00103794" w:rsidRPr="00994DC2">
        <w:rPr>
          <w:rFonts w:ascii="Times New Roman" w:hAnsi="Times New Roman"/>
        </w:rPr>
        <w:t xml:space="preserve"> </w:t>
      </w:r>
      <w:r w:rsidR="006057C0" w:rsidRPr="00994DC2">
        <w:rPr>
          <w:rFonts w:ascii="Times New Roman" w:hAnsi="Times New Roman"/>
        </w:rPr>
        <w:t xml:space="preserve">The credit exposure on the $400m mezzanine tranche is insured by buying protection in form of </w:t>
      </w:r>
      <w:r w:rsidR="001F510C" w:rsidRPr="00994DC2">
        <w:rPr>
          <w:rFonts w:ascii="Times New Roman" w:hAnsi="Times New Roman"/>
        </w:rPr>
        <w:t>CDS</w:t>
      </w:r>
      <w:r w:rsidR="006057C0" w:rsidRPr="00994DC2">
        <w:rPr>
          <w:rFonts w:ascii="Times New Roman" w:hAnsi="Times New Roman"/>
        </w:rPr>
        <w:t xml:space="preserve"> from the SPV or CDO trust, which funds the exposure by issuing credit linked notes (CLN) to investors. </w:t>
      </w:r>
      <w:r w:rsidR="001F510C" w:rsidRPr="00994DC2">
        <w:rPr>
          <w:rFonts w:ascii="Times New Roman" w:hAnsi="Times New Roman"/>
        </w:rPr>
        <w:t xml:space="preserve"> </w:t>
      </w:r>
      <w:r w:rsidR="006057C0" w:rsidRPr="00994DC2">
        <w:rPr>
          <w:rFonts w:ascii="Times New Roman" w:hAnsi="Times New Roman"/>
        </w:rPr>
        <w:t>The CDS</w:t>
      </w:r>
      <w:r w:rsidR="001F510C" w:rsidRPr="00994DC2">
        <w:rPr>
          <w:rFonts w:ascii="Times New Roman" w:hAnsi="Times New Roman"/>
        </w:rPr>
        <w:t xml:space="preserve"> </w:t>
      </w:r>
      <w:r w:rsidR="006057C0" w:rsidRPr="00994DC2">
        <w:rPr>
          <w:rFonts w:ascii="Times New Roman" w:hAnsi="Times New Roman"/>
        </w:rPr>
        <w:t>on each of the obligors in the reference portfolio are structured to pay the average default losses on all senior unsecured obligations of defaulted borrowers.</w:t>
      </w:r>
      <w:r w:rsidR="0025027A">
        <w:rPr>
          <w:rFonts w:ascii="Times New Roman" w:hAnsi="Times New Roman"/>
        </w:rPr>
        <w:t xml:space="preserve">  </w:t>
      </w:r>
      <w:r w:rsidR="00B876A9" w:rsidRPr="00994DC2">
        <w:rPr>
          <w:rFonts w:ascii="Times New Roman" w:hAnsi="Times New Roman"/>
        </w:rPr>
        <w:t xml:space="preserve">The notional value of the credit linked notes issued typically is set at a level sufficient to cover some multiple of expected losses, but well below the notional amount of the reference portfolio being hedged. The proceeds from the sale of these notes are then invested in high grade government securities or other eligible collateral as defined under the Basel Accords. This collateral is pledged to the originating bank in exchange for the $400m reference exposures should a credit event occur. </w:t>
      </w:r>
      <w:r w:rsidR="00B876A9" w:rsidRPr="00994DC2">
        <w:rPr>
          <w:rFonts w:ascii="Times New Roman" w:hAnsi="Times New Roman"/>
        </w:rPr>
        <w:br/>
        <w:t xml:space="preserve">If the funding behind the mezzanine tranche involves Treasury bonds or cash then it has zero capital weight though the bank incurs the cost of the CDS spread. This may be sufficient for the senior tranche to be allowed a 20% </w:t>
      </w:r>
      <w:r w:rsidR="00B876A9">
        <w:rPr>
          <w:rFonts w:ascii="Times New Roman" w:hAnsi="Times New Roman"/>
        </w:rPr>
        <w:t>risk</w:t>
      </w:r>
      <w:r w:rsidR="00B876A9" w:rsidRPr="00994DC2">
        <w:rPr>
          <w:rFonts w:ascii="Times New Roman" w:hAnsi="Times New Roman"/>
        </w:rPr>
        <w:t xml:space="preserve"> weight reduced from either a 50% or 100% without the bank having to incur CDS purchases on the senior tranche. The final $50m first loss exposure is retained and </w:t>
      </w:r>
      <w:r w:rsidR="00B876A9">
        <w:rPr>
          <w:rFonts w:ascii="Times New Roman" w:hAnsi="Times New Roman"/>
        </w:rPr>
        <w:t xml:space="preserve">requires a 100% risk weight </w:t>
      </w:r>
      <w:r w:rsidR="00B876A9" w:rsidRPr="00994DC2">
        <w:rPr>
          <w:rFonts w:ascii="Times New Roman" w:hAnsi="Times New Roman"/>
        </w:rPr>
        <w:t>as it is assumed to be unrated.</w:t>
      </w:r>
      <w:r w:rsidR="00B876A9">
        <w:rPr>
          <w:rFonts w:ascii="Times New Roman" w:hAnsi="Times New Roman"/>
        </w:rPr>
        <w:br/>
      </w:r>
      <w:r w:rsidR="00687AA3">
        <w:rPr>
          <w:rFonts w:ascii="Times New Roman" w:hAnsi="Times New Roman"/>
          <w:b/>
        </w:rPr>
        <w:br/>
      </w:r>
      <w:r w:rsidR="00333C33" w:rsidRPr="00930271">
        <w:rPr>
          <w:rFonts w:ascii="Times New Roman" w:hAnsi="Times New Roman"/>
          <w:b/>
        </w:rPr>
        <w:t xml:space="preserve">Figure </w:t>
      </w:r>
      <w:r w:rsidR="002D51B8" w:rsidRPr="00930271">
        <w:rPr>
          <w:rFonts w:ascii="Times New Roman" w:hAnsi="Times New Roman"/>
          <w:b/>
        </w:rPr>
        <w:t>4</w:t>
      </w:r>
      <w:r w:rsidR="00333C33" w:rsidRPr="00930271">
        <w:rPr>
          <w:rFonts w:ascii="Times New Roman" w:hAnsi="Times New Roman"/>
          <w:b/>
        </w:rPr>
        <w:t xml:space="preserve">: Partially Funded </w:t>
      </w:r>
      <w:r w:rsidR="00E90DBE" w:rsidRPr="00930271">
        <w:rPr>
          <w:rFonts w:ascii="Times New Roman" w:hAnsi="Times New Roman"/>
          <w:b/>
        </w:rPr>
        <w:t xml:space="preserve">Hybrid </w:t>
      </w:r>
      <w:r w:rsidR="00333C33" w:rsidRPr="00930271">
        <w:rPr>
          <w:rFonts w:ascii="Times New Roman" w:hAnsi="Times New Roman"/>
          <w:b/>
        </w:rPr>
        <w:t xml:space="preserve">Synthetic CDO RMBS Structure ($5 </w:t>
      </w:r>
      <w:proofErr w:type="spellStart"/>
      <w:r w:rsidR="00333C33" w:rsidRPr="00930271">
        <w:rPr>
          <w:rFonts w:ascii="Times New Roman" w:hAnsi="Times New Roman"/>
          <w:b/>
        </w:rPr>
        <w:t>bn</w:t>
      </w:r>
      <w:proofErr w:type="spellEnd"/>
      <w:r w:rsidR="00333C33" w:rsidRPr="00930271">
        <w:rPr>
          <w:rFonts w:ascii="Times New Roman" w:hAnsi="Times New Roman"/>
          <w:b/>
        </w:rPr>
        <w:t>)</w:t>
      </w:r>
      <w:r w:rsidR="00E90DBE" w:rsidRPr="00930271">
        <w:rPr>
          <w:rFonts w:ascii="Times New Roman" w:hAnsi="Times New Roman"/>
          <w:b/>
        </w:rPr>
        <w:t xml:space="preserve"> </w:t>
      </w:r>
      <w:r w:rsidR="00FE1736">
        <w:rPr>
          <w:rFonts w:ascii="Times New Roman" w:hAnsi="Times New Roman"/>
          <w:noProof/>
          <w:lang w:eastAsia="en-GB"/>
        </w:rPr>
      </w:r>
      <w:r w:rsidR="00FE1736" w:rsidRPr="00FE1736">
        <w:rPr>
          <w:rFonts w:ascii="Times New Roman" w:hAnsi="Times New Roman"/>
          <w:noProof/>
          <w:lang w:eastAsia="en-GB"/>
        </w:rPr>
        <w:pict>
          <v:group id="Canvas 1009" o:spid="_x0000_s1026" editas="canvas" style="width:451.3pt;height:285.65pt;mso-position-horizontal-relative:char;mso-position-vertical-relative:line" coordsize="57315,36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315;height:36277;visibility:visible">
              <v:fill o:detectmouseclick="t"/>
              <v:path o:connecttype="none"/>
            </v:shape>
            <v:shapetype id="_x0000_t202" coordsize="21600,21600" o:spt="202" path="m,l,21600r21600,l21600,xe">
              <v:stroke joinstyle="miter"/>
              <v:path gradientshapeok="t" o:connecttype="rect"/>
            </v:shapetype>
            <v:shape id="Text Box 1011" o:spid="_x0000_s1028" type="#_x0000_t202" style="position:absolute;left:22339;top:18669;width:9303;height:57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2A250E" w:rsidRPr="005E7721" w:rsidRDefault="002A250E" w:rsidP="00E20DD0">
                    <w:pPr>
                      <w:rPr>
                        <w:sz w:val="16"/>
                        <w:szCs w:val="16"/>
                      </w:rPr>
                    </w:pPr>
                    <w:proofErr w:type="gramStart"/>
                    <w:r>
                      <w:rPr>
                        <w:sz w:val="16"/>
                        <w:szCs w:val="16"/>
                      </w:rPr>
                      <w:t>Periodic  payment</w:t>
                    </w:r>
                    <w:proofErr w:type="gramEnd"/>
                    <w:r>
                      <w:rPr>
                        <w:sz w:val="16"/>
                        <w:szCs w:val="16"/>
                      </w:rPr>
                      <w:t xml:space="preserve">  of CDS </w:t>
                    </w:r>
                    <w:proofErr w:type="spellStart"/>
                    <w:r>
                      <w:rPr>
                        <w:sz w:val="16"/>
                        <w:szCs w:val="16"/>
                      </w:rPr>
                      <w:t>premia</w:t>
                    </w:r>
                    <w:proofErr w:type="spellEnd"/>
                  </w:p>
                </w:txbxContent>
              </v:textbox>
            </v:shape>
            <v:rect id="Rectangle 1012" o:spid="_x0000_s1029" style="position:absolute;left:222;top:4953;width:9239;height:281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shape id="Text Box 1013" o:spid="_x0000_s1030" type="#_x0000_t202" style="position:absolute;left:946;top:6382;width:7760;height:263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lCsAA&#10;AADbAAAADwAAAGRycy9kb3ducmV2LnhtbERPzYrCMBC+C75DGGEvsqa6arVrFHdB8arrA0ybsS3b&#10;TEoTbX17Iwje5uP7ndWmM5W4UeNKywrGowgEcWZ1ybmC89/ucwHCeWSNlWVScCcHm3W/t8JE25aP&#10;dDv5XIQQdgkqKLyvEyldVpBBN7I1ceAutjHoA2xyqRtsQ7ip5CSK5tJgyaGhwJp+C8r+T1ej4HJo&#10;h7Nlm+79OT5O5z9Yxqm9K/Ux6LbfIDx1/i1+uQ86zP+C5y/h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NlCsAAAADbAAAADwAAAAAAAAAAAAAAAACYAgAAZHJzL2Rvd25y&#10;ZXYueG1sUEsFBgAAAAAEAAQA9QAAAIUDAAAAAA==&#10;" stroked="f">
              <v:textbox>
                <w:txbxContent>
                  <w:p w:rsidR="002A250E" w:rsidRPr="00A74A20" w:rsidRDefault="002A250E" w:rsidP="00E20DD0">
                    <w:pPr>
                      <w:jc w:val="center"/>
                      <w:rPr>
                        <w:rFonts w:ascii="Times New Roman" w:hAnsi="Times New Roman"/>
                        <w:b/>
                        <w:sz w:val="18"/>
                        <w:szCs w:val="18"/>
                      </w:rPr>
                    </w:pPr>
                    <w:r w:rsidRPr="00A74A20">
                      <w:rPr>
                        <w:rFonts w:ascii="Times New Roman" w:hAnsi="Times New Roman"/>
                        <w:b/>
                        <w:sz w:val="18"/>
                        <w:szCs w:val="18"/>
                      </w:rPr>
                      <w:t xml:space="preserve">Sponsoring Bank </w:t>
                    </w:r>
                    <w:r w:rsidRPr="00A74A20">
                      <w:rPr>
                        <w:rFonts w:ascii="Times New Roman" w:hAnsi="Times New Roman"/>
                        <w:b/>
                        <w:sz w:val="18"/>
                        <w:szCs w:val="18"/>
                      </w:rPr>
                      <w:br/>
                    </w:r>
                    <w:proofErr w:type="gramStart"/>
                    <w:r>
                      <w:rPr>
                        <w:rFonts w:ascii="Times New Roman" w:hAnsi="Times New Roman"/>
                        <w:b/>
                        <w:sz w:val="18"/>
                        <w:szCs w:val="18"/>
                      </w:rPr>
                      <w:t>r</w:t>
                    </w:r>
                    <w:r w:rsidRPr="00A74A20">
                      <w:rPr>
                        <w:rFonts w:ascii="Times New Roman" w:hAnsi="Times New Roman"/>
                        <w:b/>
                        <w:sz w:val="18"/>
                        <w:szCs w:val="18"/>
                      </w:rPr>
                      <w:t>etains  on</w:t>
                    </w:r>
                    <w:proofErr w:type="gramEnd"/>
                    <w:r w:rsidRPr="00A74A20">
                      <w:rPr>
                        <w:rFonts w:ascii="Times New Roman" w:hAnsi="Times New Roman"/>
                        <w:b/>
                        <w:sz w:val="18"/>
                        <w:szCs w:val="18"/>
                      </w:rPr>
                      <w:t xml:space="preserve"> balance sheet $5bn</w:t>
                    </w:r>
                    <w:r w:rsidRPr="00A74A20">
                      <w:rPr>
                        <w:rFonts w:ascii="Times New Roman" w:hAnsi="Times New Roman"/>
                        <w:b/>
                        <w:sz w:val="18"/>
                        <w:szCs w:val="18"/>
                      </w:rPr>
                      <w:br/>
                      <w:t xml:space="preserve">of Structured RMBS CDO; </w:t>
                    </w:r>
                  </w:p>
                  <w:p w:rsidR="002A250E" w:rsidRPr="00A74A20" w:rsidRDefault="002A250E" w:rsidP="00E20DD0">
                    <w:pPr>
                      <w:jc w:val="center"/>
                      <w:rPr>
                        <w:rFonts w:ascii="Times New Roman" w:hAnsi="Times New Roman"/>
                        <w:b/>
                        <w:sz w:val="18"/>
                        <w:szCs w:val="18"/>
                      </w:rPr>
                    </w:pPr>
                    <w:r w:rsidRPr="00A74A20">
                      <w:rPr>
                        <w:rFonts w:ascii="Times New Roman" w:hAnsi="Times New Roman"/>
                        <w:b/>
                        <w:sz w:val="18"/>
                        <w:szCs w:val="18"/>
                      </w:rPr>
                      <w:t>Off balance sheet CDS protection purchase on funded mezzanine tranche</w:t>
                    </w:r>
                  </w:p>
                </w:txbxContent>
              </v:textbox>
            </v:shape>
            <v:rect id="Rectangle 1014" o:spid="_x0000_s1031" style="position:absolute;left:13766;top:4953;width:9246;height:270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shape id="Text Box 1015" o:spid="_x0000_s1032" type="#_x0000_t202" style="position:absolute;left:13823;top:4953;width:9246;height:157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rsidR="002A250E" w:rsidRPr="00A74A20" w:rsidRDefault="002A250E" w:rsidP="00E20DD0">
                    <w:pPr>
                      <w:rPr>
                        <w:rFonts w:ascii="Times New Roman" w:hAnsi="Times New Roman"/>
                      </w:rPr>
                    </w:pPr>
                    <w:r w:rsidRPr="00A74A20">
                      <w:rPr>
                        <w:rFonts w:ascii="Times New Roman" w:hAnsi="Times New Roman"/>
                      </w:rPr>
                      <w:t>$4.55bn unfunded super senior AAA</w:t>
                    </w:r>
                    <w:r w:rsidRPr="00A74A20">
                      <w:rPr>
                        <w:rFonts w:ascii="Times New Roman" w:hAnsi="Times New Roman"/>
                      </w:rPr>
                      <w:br/>
                      <w:t>tran</w:t>
                    </w:r>
                    <w:r w:rsidRPr="00A74A20">
                      <w:rPr>
                        <w:rFonts w:ascii="Times New Roman" w:hAnsi="Times New Roman"/>
                        <w:i/>
                      </w:rPr>
                      <w:t>c</w:t>
                    </w:r>
                    <w:r w:rsidRPr="00A74A20">
                      <w:rPr>
                        <w:rFonts w:ascii="Times New Roman" w:hAnsi="Times New Roman"/>
                      </w:rPr>
                      <w:t>he (91%)</w:t>
                    </w:r>
                  </w:p>
                </w:txbxContent>
              </v:textbox>
            </v:shape>
            <v:shape id="Text Box 1016" o:spid="_x0000_s1033" type="#_x0000_t202" style="position:absolute;left:13823;top:18669;width:9246;height:88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2A250E" w:rsidRPr="00A74A20" w:rsidRDefault="002A250E" w:rsidP="00E20DD0">
                    <w:pPr>
                      <w:rPr>
                        <w:rFonts w:ascii="Times New Roman" w:hAnsi="Times New Roman"/>
                      </w:rPr>
                    </w:pPr>
                    <w:r w:rsidRPr="00A74A20">
                      <w:rPr>
                        <w:rFonts w:ascii="Times New Roman" w:hAnsi="Times New Roman"/>
                      </w:rPr>
                      <w:t>$</w:t>
                    </w:r>
                    <w:proofErr w:type="gramStart"/>
                    <w:r w:rsidRPr="00A74A20">
                      <w:rPr>
                        <w:rFonts w:ascii="Times New Roman" w:hAnsi="Times New Roman"/>
                      </w:rPr>
                      <w:t>400m  funded</w:t>
                    </w:r>
                    <w:proofErr w:type="gramEnd"/>
                    <w:r w:rsidRPr="00A74A20">
                      <w:rPr>
                        <w:rFonts w:ascii="Times New Roman" w:hAnsi="Times New Roman"/>
                      </w:rPr>
                      <w:t xml:space="preserve"> mezzanine tranche (8%)</w:t>
                    </w:r>
                  </w:p>
                </w:txbxContent>
              </v:textbox>
            </v:shape>
            <v:shape id="Text Box 1017" o:spid="_x0000_s1034" type="#_x0000_t202" style="position:absolute;left:13823;top:27508;width:9246;height:4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rsidR="002A250E" w:rsidRPr="00A74A20" w:rsidRDefault="002A250E" w:rsidP="00E20DD0">
                    <w:pPr>
                      <w:rPr>
                        <w:rFonts w:ascii="Times New Roman" w:hAnsi="Times New Roman"/>
                      </w:rPr>
                    </w:pPr>
                    <w:r w:rsidRPr="00A74A20">
                      <w:rPr>
                        <w:rFonts w:ascii="Times New Roman" w:hAnsi="Times New Roman"/>
                      </w:rPr>
                      <w:t>$50m first loss (1%)</w:t>
                    </w:r>
                  </w:p>
                </w:txbxContent>
              </v:textbox>
            </v:shape>
            <v:shape id="Text Box 1018" o:spid="_x0000_s1035" type="#_x0000_t202" style="position:absolute;left:34397;top:20701;width:7989;height:53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2A250E" w:rsidRPr="00A74A20" w:rsidRDefault="002A250E" w:rsidP="00E20DD0">
                    <w:pPr>
                      <w:rPr>
                        <w:rFonts w:ascii="Times New Roman" w:hAnsi="Times New Roman"/>
                        <w:sz w:val="20"/>
                        <w:szCs w:val="20"/>
                      </w:rPr>
                    </w:pPr>
                    <w:r w:rsidRPr="00A74A20">
                      <w:rPr>
                        <w:rFonts w:ascii="Times New Roman" w:hAnsi="Times New Roman"/>
                        <w:sz w:val="20"/>
                        <w:szCs w:val="20"/>
                      </w:rPr>
                      <w:t>SPV / CDO Trust</w:t>
                    </w:r>
                  </w:p>
                </w:txbxContent>
              </v:textbox>
            </v:shape>
            <v:shape id="Text Box 1019" o:spid="_x0000_s1036" type="#_x0000_t202" style="position:absolute;left:38277;top:13385;width:10205;height:47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rsidR="002A250E" w:rsidRPr="00A74A20" w:rsidRDefault="002A250E" w:rsidP="00E20DD0">
                    <w:pPr>
                      <w:rPr>
                        <w:rFonts w:ascii="Times New Roman" w:hAnsi="Times New Roman"/>
                      </w:rPr>
                    </w:pPr>
                    <w:r w:rsidRPr="00A74A20">
                      <w:rPr>
                        <w:rFonts w:ascii="Times New Roman" w:hAnsi="Times New Roman"/>
                      </w:rPr>
                      <w:t>$100m Junior CLN tranche</w:t>
                    </w:r>
                  </w:p>
                </w:txbxContent>
              </v:textbox>
            </v:shape>
            <v:shape id="Text Box 1020" o:spid="_x0000_s1037" type="#_x0000_t202" style="position:absolute;left:26523;top:13290;width:10205;height:47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rsidR="002A250E" w:rsidRPr="00A74A20" w:rsidRDefault="002A250E" w:rsidP="00E20DD0">
                    <w:pPr>
                      <w:rPr>
                        <w:rFonts w:ascii="Times New Roman" w:hAnsi="Times New Roman"/>
                      </w:rPr>
                    </w:pPr>
                    <w:r w:rsidRPr="00A74A20">
                      <w:rPr>
                        <w:rFonts w:ascii="Times New Roman" w:hAnsi="Times New Roman"/>
                      </w:rPr>
                      <w:t>$300m senior CLN tranche</w:t>
                    </w:r>
                  </w:p>
                </w:txbxContent>
              </v:textbox>
            </v:shape>
            <v:shape id="Text Box 1021" o:spid="_x0000_s1038" type="#_x0000_t202" style="position:absolute;left:31642;top:31572;width:13684;height:47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2A250E" w:rsidRPr="00A74A20" w:rsidRDefault="002A250E" w:rsidP="00E20DD0">
                    <w:pPr>
                      <w:rPr>
                        <w:rFonts w:ascii="Times New Roman" w:hAnsi="Times New Roman"/>
                      </w:rPr>
                    </w:pPr>
                    <w:r w:rsidRPr="00A74A20">
                      <w:rPr>
                        <w:rFonts w:ascii="Times New Roman" w:hAnsi="Times New Roman"/>
                      </w:rPr>
                      <w:t>High Grade US Treasury (collateral)</w:t>
                    </w:r>
                  </w:p>
                </w:txbxContent>
              </v:textbox>
            </v:shape>
            <v:shapetype id="_x0000_t32" coordsize="21600,21600" o:spt="32" o:oned="t" path="m,l21600,21600e" filled="f">
              <v:path arrowok="t" fillok="f" o:connecttype="none"/>
              <o:lock v:ext="edit" shapetype="t"/>
            </v:shapetype>
            <v:shape id="AutoShape 1022" o:spid="_x0000_s1039" type="#_x0000_t32" style="position:absolute;left:22758;top:25069;width:11532;height: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jhCsIAAADbAAAADwAAAGRycy9kb3ducmV2LnhtbESPT4vCMBTE74LfITxhb5puQZFqFFcQ&#10;xMviH9g9PppnG2xeShOb+u03Cwt7HGbmN8x6O9hG9NR541jB+ywDQVw6bbhScLsepksQPiBrbByT&#10;ghd52G7GozUW2kU+U38JlUgQ9gUqqENoCyl9WZNFP3MtcfLurrMYkuwqqTuMCW4bmWfZQlo0nBZq&#10;bGlfU/m4PK0CEz9N3x738eP09e11JPOaO6PU22TYrUAEGsJ/+K991AryHH6/pB8gN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ojhCsIAAADbAAAADwAAAAAAAAAAAAAA&#10;AAChAgAAZHJzL2Rvd25yZXYueG1sUEsFBgAAAAAEAAQA+QAAAJADAAAAAA==&#10;">
              <v:stroke endarrow="block"/>
            </v:shape>
            <v:shape id="AutoShape 1023" o:spid="_x0000_s1040" type="#_x0000_t32" style="position:absolute;left:23082;top:22383;width:11100;height: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8s8QAAADbAAAADwAAAGRycy9kb3ducmV2LnhtbESPQWvCQBSE74X+h+UVvNWNC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v7yzxAAAANsAAAAPAAAAAAAAAAAA&#10;AAAAAKECAABkcnMvZG93bnJldi54bWxQSwUGAAAAAAQABAD5AAAAkgMAAAAA&#10;">
              <v:stroke endarrow="block"/>
            </v:shape>
            <v:shape id="AutoShape 1024" o:spid="_x0000_s1041" type="#_x0000_t32" style="position:absolute;left:38347;top:19202;width:45;height:149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OtqsUAAADbAAAADwAAAGRycy9kb3ducmV2LnhtbESPQWvCQBSE7wX/w/KEXkrdKK2U6Coh&#10;UigBUaPg9ZF9TdJk34bs1qT/3i0Uehxm5htmvR1NK27Uu9qygvksAkFcWF1zqeByfn9+A+E8ssbW&#10;Min4IQfbzeRhjbG2A5/olvtSBAi7GBVU3nexlK6oyKCb2Y44eJ+2N+iD7EupexwC3LRyEUVLabDm&#10;sFBhR2lFRZN/GwV+/5S9fp0OhyRn3iXH7Nok6VWpx+mYrEB4Gv1/+K/9oRUsXuD3S/gBcn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OtqsUAAADbAAAADwAAAAAAAAAA&#10;AAAAAAChAgAAZHJzL2Rvd25yZXYueG1sUEsFBgAAAAAEAAQA+QAAAJMDAAAAAA==&#10;"/>
            <v:shape id="AutoShape 1025" o:spid="_x0000_s1042" type="#_x0000_t32" style="position:absolute;left:31629;top:19202;width:11754;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LjmMQAAADbAAAADwAAAGRycy9kb3ducmV2LnhtbESPT2sCMRTE74LfITzBi9SsgkW2RlkL&#10;ghY8+O/+unndBDcv203U7bdvCgWPw8z8hlmsOleLO7XBelYwGWcgiEuvLVcKzqfNyxxEiMgaa8+k&#10;4IcCrJb93gJz7R98oPsxViJBOOSowMTY5FKG0pDDMPYNcfK+fOswJtlWUrf4SHBXy2mWvUqHltOC&#10;wYbeDZXX480p2O8m6+LT2N3H4dvuZ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EuOYxAAAANsAAAAPAAAAAAAAAAAA&#10;AAAAAKECAABkcnMvZG93bnJldi54bWxQSwUGAAAAAAQABAD5AAAAkgMAAAAA&#10;"/>
            <v:shape id="AutoShape 1026" o:spid="_x0000_s1043" type="#_x0000_t32" style="position:absolute;left:31623;top:17995;width:6;height:120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PnCcEAAADbAAAADwAAAGRycy9kb3ducmV2LnhtbESPT4vCMBTE78J+h/AW9qbpCitSjaLC&#10;gnhZ/AN6fDTPNti8lCY29dtvBMHjMDO/YebL3taio9Ybxwq+RxkI4sJpw6WC0/F3OAXhA7LG2jEp&#10;eJCH5eJjMMdcu8h76g6hFAnCPkcFVQhNLqUvKrLoR64hTt7VtRZDkm0pdYsxwW0tx1k2kRYNp4UK&#10;G9pUVNwOd6vAxD/TNdtNXO/OF68jmcePM0p9ffarGYhAfXiHX+2tVjCewPNL+gF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s+cJwQAAANsAAAAPAAAAAAAAAAAAAAAA&#10;AKECAABkcnMvZG93bnJldi54bWxQSwUGAAAAAAQABAD5AAAAjwMAAAAA&#10;">
              <v:stroke endarrow="block"/>
            </v:shape>
            <v:shape id="AutoShape 1027" o:spid="_x0000_s1044" type="#_x0000_t32" style="position:absolute;left:43376;top:18091;width:7;height:111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9CksMAAADbAAAADwAAAGRycy9kb3ducmV2LnhtbESPT2sCMRTE7wW/Q3hCb91shVpZjVKF&#10;gvRS/AN6fGyeu8HNy7KJm/XbN4LQ4zAzv2EWq8E2oqfOG8cK3rMcBHHptOFKwfHw/TYD4QOyxsYx&#10;KbiTh9Vy9LLAQrvIO+r3oRIJwr5ABXUIbSGlL2uy6DPXEifv4jqLIcmukrrDmOC2kZM8n0qLhtNC&#10;jS1taiqv+5tVYOKv6dvtJq5/TmevI5n7hzNKvY6HrzmIQEP4Dz/bW61g8gm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QpLDAAAA2wAAAA8AAAAAAAAAAAAA&#10;AAAAoQIAAGRycy9kb3ducmV2LnhtbFBLBQYAAAAABAAEAPkAAACRAwAAAAA=&#10;">
              <v:stroke endarrow="block"/>
            </v:shape>
            <v:shape id="AutoShape 1028" o:spid="_x0000_s1045" type="#_x0000_t32" style="position:absolute;left:31629;top:10274;width:11754;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pncQAAADbAAAADwAAAGRycy9kb3ducmV2LnhtbESPQWsCMRSE74L/ITzBi9SsgtJujbIV&#10;BC140Lb3181zE9y8bDdRt/++KQgeh5n5hlmsOleLK7XBelYwGWcgiEuvLVcKPj82T88gQkTWWHsm&#10;Bb8UYLXs9xaYa3/jA12PsRIJwiFHBSbGJpcylIYchrFviJN38q3DmGRbSd3iLcFdLadZNpcOLacF&#10;gw2tDZXn48Up2O8mb8W3sbv3w4/dzzZFfalGX0oNB13xCiJSFx/he3urFUxf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X+mdxAAAANsAAAAPAAAAAAAAAAAA&#10;AAAAAKECAABkcnMvZG93bnJldi54bWxQSwUGAAAAAAQABAD5AAAAkgMAAAAA&#10;"/>
            <v:shape id="AutoShape 1029" o:spid="_x0000_s1046" type="#_x0000_t32" style="position:absolute;left:31623;top:10058;width:6;height:323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zW3cEAAADbAAAADwAAAGRycy9kb3ducmV2LnhtbERPTWsCMRC9C/0PYQpeRLMq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vNbdwQAAANsAAAAPAAAAAAAAAAAAAAAA&#10;AKECAABkcnMvZG93bnJldi54bWxQSwUGAAAAAAQABAD5AAAAjwMAAAAA&#10;"/>
            <v:shape id="AutoShape 1030" o:spid="_x0000_s1047" type="#_x0000_t32" style="position:absolute;left:43370;top:10166;width:6;height:323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zRsUAAADbAAAADwAAAGRycy9kb3ducmV2LnhtbESPT2sCMRTE7wW/Q3gFL0Wzq7TIapS1&#10;IGjBg396f908N6Gbl+0m6vbbN4VCj8PM/IZZrHrXiBt1wXpWkI8zEMSV15ZrBefTZjQDESKyxsYz&#10;KfimAKvl4GGBhfZ3PtDtGGuRIBwKVGBibAspQ2XIYRj7ljh5F985jEl2tdQd3hPcNXKSZS/SoeW0&#10;YLClV0PV5/HqFOx3+br8MHb3dviy++dN2Vzrp3elho99OQcRqY//4b/2ViuY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zRsUAAADbAAAADwAAAAAAAAAA&#10;AAAAAAChAgAAZHJzL2Rvd25yZXYueG1sUEsFBgAAAAAEAAQA+QAAAJMDAAAAAA==&#10;"/>
            <v:shape id="AutoShape 1031" o:spid="_x0000_s1048" type="#_x0000_t32" style="position:absolute;left:43383;top:10280;width:87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LtMcQAAADbAAAADwAAAGRycy9kb3ducmV2LnhtbESPQWsCMRSE74L/ITzBi9SsiqVsjbIV&#10;BC140Lb3181zE9y8bDdRt/++KQgeh5n5hlmsOleLK7XBelYwGWcgiEuvLVcKPj82Ty8gQkTWWHsm&#10;Bb8UYLXs9xaYa3/jA12PsRIJwiFHBSbGJpcylIYchrFviJN38q3DmGRbSd3iLcFdLadZ9iwdWk4L&#10;BhtaGyrPx4tTsN9N3opvY3fvhx+7n2+K+lKNvpQaDrriFUSkLj7C9/ZWK5hN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u0xxAAAANsAAAAPAAAAAAAAAAAA&#10;AAAAAKECAABkcnMvZG93bnJldi54bWxQSwUGAAAAAAQABAD5AAAAkgMAAAAA&#10;"/>
            <v:shape id="AutoShape 1032" o:spid="_x0000_s1049" type="#_x0000_t32" style="position:absolute;left:52101;top:10280;width:0;height:1306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5IqsQAAADbAAAADwAAAGRycy9kb3ducmV2LnhtbESPQWsCMRSE74L/ITzBi9SsS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kiqxAAAANsAAAAPAAAAAAAAAAAA&#10;AAAAAKECAABkcnMvZG93bnJldi54bWxQSwUGAAAAAAQABAD5AAAAkgMAAAAA&#10;"/>
            <v:shape id="AutoShape 1033" o:spid="_x0000_s1050" type="#_x0000_t32" style="position:absolute;left:42386;top:23348;width:9715;height: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KOMIAAADbAAAADwAAAGRycy9kb3ducmV2LnhtbESPQWsCMRSE74L/ITyhN81aq8jWKCoI&#10;0ouohXp8bF53g5uXZZNu1n/fCIUeh5n5hllteluLjlpvHCuYTjIQxIXThksFn9fDeAnCB2SNtWNS&#10;8CAPm/VwsMJcu8hn6i6hFAnCPkcFVQhNLqUvKrLoJ64hTt63ay2GJNtS6hZjgttavmbZQlo0nBYq&#10;bGhfUXG//FgFJp5M1xz3cffxdfM6knnMnVHqZdRv30EE6sN/+K991Apmb/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RKOMIAAADbAAAADwAAAAAAAAAAAAAA&#10;AAChAgAAZHJzL2Rvd25yZXYueG1sUEsFBgAAAAAEAAQA+QAAAJADAAAAAA==&#10;">
              <v:stroke endarrow="block"/>
            </v:shape>
            <v:shape id="AutoShape 1034" o:spid="_x0000_s1051" type="#_x0000_t32" style="position:absolute;left:38392;top:26009;width:95;height:556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MXgcYAAADbAAAADwAAAGRycy9kb3ducmV2LnhtbESPT2vCQBTE7wW/w/KE3urGl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DF4HGAAAA2wAAAA8AAAAAAAAA&#10;AAAAAAAAoQIAAGRycy9kb3ducmV2LnhtbFBLBQYAAAAABAAEAPkAAACUAwAAAAA=&#10;">
              <v:stroke endarrow="block"/>
            </v:shape>
            <v:shape id="Text Box 1035" o:spid="_x0000_s1052" type="#_x0000_t202" style="position:absolute;left:23837;top:26282;width:12065;height:39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a8sIA&#10;AADbAAAADwAAAGRycy9kb3ducmV2LnhtbESP3YrCMBSE7xd8h3AEbxZN/au7XaOooHjrzwMcm2Nb&#10;tjkpTbT17Y0geDnMzDfMfNmaUtypdoVlBcNBBII4tbrgTMH5tO3/gHAeWWNpmRQ8yMFy0fmaY6Jt&#10;wwe6H30mAoRdggpy76tESpfmZNANbEUcvKutDfog60zqGpsAN6UcRVEsDRYcFnKsaJNT+n+8GQXX&#10;ffM9/W0uO3+eHSbxGovZxT6U6nXb1R8IT63/hN/tvVYwju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ZrywgAAANsAAAAPAAAAAAAAAAAAAAAAAJgCAABkcnMvZG93&#10;bnJldi54bWxQSwUGAAAAAAQABAD1AAAAhwMAAAAA&#10;" stroked="f">
              <v:textbox>
                <w:txbxContent>
                  <w:p w:rsidR="002A250E" w:rsidRPr="005E7721" w:rsidRDefault="002A250E" w:rsidP="00E20DD0">
                    <w:pPr>
                      <w:rPr>
                        <w:sz w:val="16"/>
                        <w:szCs w:val="16"/>
                      </w:rPr>
                    </w:pPr>
                    <w:r>
                      <w:rPr>
                        <w:sz w:val="16"/>
                        <w:szCs w:val="16"/>
                      </w:rPr>
                      <w:t xml:space="preserve">Credit Event: Notional </w:t>
                    </w:r>
                    <w:proofErr w:type="gramStart"/>
                    <w:r>
                      <w:rPr>
                        <w:sz w:val="16"/>
                        <w:szCs w:val="16"/>
                      </w:rPr>
                      <w:t>less  recovery</w:t>
                    </w:r>
                    <w:proofErr w:type="gramEnd"/>
                    <w:r>
                      <w:rPr>
                        <w:sz w:val="16"/>
                        <w:szCs w:val="16"/>
                      </w:rPr>
                      <w:t xml:space="preserve"> rate  </w:t>
                    </w:r>
                  </w:p>
                </w:txbxContent>
              </v:textbox>
            </v:shape>
            <v:shape id="Text Box 1036" o:spid="_x0000_s1053" type="#_x0000_t202" style="position:absolute;left:39287;top:26282;width:15278;height:28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KrG78A&#10;AADbAAAADwAAAGRycy9kb3ducmV2LnhtbERPy4rCMBTdD/gP4QpuBk0dH9VqlFFQ3Pr4gNvm2hab&#10;m9JEW//eLAZmeTjv9bYzlXhR40rLCsajCARxZnXJuYLb9TBcgHAeWWNlmRS8ycF20/taY6Jty2d6&#10;XXwuQgi7BBUU3teJlC4ryKAb2Zo4cHfbGPQBNrnUDbYh3FTyJ4rm0mDJoaHAmvYFZY/L0yi4n9rv&#10;2bJNj/4Wn6fzHZZxat9KDfrd7wqEp87/i//cJ61gEsaG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oqsbvwAAANsAAAAPAAAAAAAAAAAAAAAAAJgCAABkcnMvZG93bnJl&#10;di54bWxQSwUGAAAAAAQABAD1AAAAhAMAAAAA&#10;" stroked="f">
              <v:textbox>
                <w:txbxContent>
                  <w:p w:rsidR="002A250E" w:rsidRPr="005E7721" w:rsidRDefault="002A250E" w:rsidP="00E20DD0">
                    <w:pPr>
                      <w:rPr>
                        <w:sz w:val="16"/>
                        <w:szCs w:val="16"/>
                      </w:rPr>
                    </w:pPr>
                    <w:r>
                      <w:rPr>
                        <w:sz w:val="16"/>
                        <w:szCs w:val="16"/>
                      </w:rPr>
                      <w:t>Proceeds from CLN sale</w:t>
                    </w:r>
                  </w:p>
                </w:txbxContent>
              </v:textbox>
            </v:shape>
            <v:shape id="Text Box 1037" o:spid="_x0000_s1054" type="#_x0000_t202" style="position:absolute;left:26987;top:3581;width:17831;height:5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5K8QA&#10;AADbAAAADwAAAGRycy9kb3ducmV2LnhtbESPT2sCMRTE74LfITzBi9SsWqxujVKEFnvzH/b62Dx3&#10;Fzcv2ySu67c3hYLHYWZ+wyxWralEQ86XlhWMhgkI4szqknMFx8PnywyED8gaK8uk4E4eVstuZ4Gp&#10;tjfeUbMPuYgQ9ikqKEKoUyl9VpBBP7Q1cfTO1hkMUbpcaoe3CDeVHCfJVBosOS4UWNO6oOyyvxoF&#10;s9dN8+O/J9tTNj1X8zB4a75+nVL9XvvxDiJQG57h//ZGK5jM4e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4eSvEAAAA2wAAAA8AAAAAAAAAAAAAAAAAmAIAAGRycy9k&#10;b3ducmV2LnhtbFBLBQYAAAAABAAEAPUAAACJAwAAAAA=&#10;">
              <v:textbox>
                <w:txbxContent>
                  <w:p w:rsidR="002A250E" w:rsidRPr="00A74A20" w:rsidRDefault="002A250E" w:rsidP="00E20DD0">
                    <w:pPr>
                      <w:rPr>
                        <w:rFonts w:ascii="Times New Roman" w:hAnsi="Times New Roman"/>
                      </w:rPr>
                    </w:pPr>
                    <w:r w:rsidRPr="00A74A20">
                      <w:rPr>
                        <w:rFonts w:ascii="Times New Roman" w:hAnsi="Times New Roman"/>
                      </w:rPr>
                      <w:t xml:space="preserve">Investors of Credit Linked </w:t>
                    </w:r>
                    <w:proofErr w:type="gramStart"/>
                    <w:r w:rsidRPr="00A74A20">
                      <w:rPr>
                        <w:rFonts w:ascii="Times New Roman" w:hAnsi="Times New Roman"/>
                      </w:rPr>
                      <w:t>Notes  (</w:t>
                    </w:r>
                    <w:proofErr w:type="gramEnd"/>
                    <w:r w:rsidRPr="00A74A20">
                      <w:rPr>
                        <w:rFonts w:ascii="Times New Roman" w:hAnsi="Times New Roman"/>
                      </w:rPr>
                      <w:t>CLNs)</w:t>
                    </w:r>
                  </w:p>
                </w:txbxContent>
              </v:textbox>
            </v:shape>
            <v:shape id="AutoShape 1040" o:spid="_x0000_s1055" type="#_x0000_t32" style="position:absolute;left:35902;top:8890;width:7;height:1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qloMEAAADbAAAADwAAAGRycy9kb3ducmV2LnhtbERPTWsCMRC9C/0PYQpeRLOK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uqWgwQAAANsAAAAPAAAAAAAAAAAAAAAA&#10;AKECAABkcnMvZG93bnJldi54bWxQSwUGAAAAAAQABAD5AAAAjwMAAAAA&#10;"/>
            <w10:wrap type="none"/>
            <w10:anchorlock/>
          </v:group>
        </w:pict>
      </w:r>
      <w:r w:rsidR="00E20DD0" w:rsidRPr="00B876A9">
        <w:rPr>
          <w:rFonts w:ascii="Times New Roman" w:hAnsi="Times New Roman"/>
          <w:b/>
          <w:sz w:val="20"/>
          <w:szCs w:val="20"/>
        </w:rPr>
        <w:t>Source:</w:t>
      </w:r>
      <w:r w:rsidR="00E20DD0" w:rsidRPr="00B876A9">
        <w:rPr>
          <w:rFonts w:ascii="Times New Roman" w:hAnsi="Times New Roman"/>
          <w:i/>
          <w:sz w:val="20"/>
          <w:szCs w:val="20"/>
        </w:rPr>
        <w:t xml:space="preserve"> </w:t>
      </w:r>
      <w:r w:rsidR="00B871E5" w:rsidRPr="00B876A9">
        <w:rPr>
          <w:rFonts w:ascii="Times New Roman" w:hAnsi="Times New Roman"/>
          <w:sz w:val="20"/>
          <w:szCs w:val="20"/>
        </w:rPr>
        <w:t>Adapted from</w:t>
      </w:r>
      <w:r w:rsidR="00E20DD0" w:rsidRPr="00B876A9">
        <w:rPr>
          <w:rFonts w:ascii="Times New Roman" w:hAnsi="Times New Roman"/>
          <w:sz w:val="20"/>
          <w:szCs w:val="20"/>
        </w:rPr>
        <w:t xml:space="preserve"> OCC Bulletin 99-43a: Capital Interpretations Synthetic Collateralized Loan Obligations</w:t>
      </w:r>
      <w:r w:rsidR="00103794" w:rsidRPr="00B876A9">
        <w:rPr>
          <w:rStyle w:val="FootnoteReference"/>
          <w:rFonts w:ascii="Times New Roman" w:hAnsi="Times New Roman"/>
          <w:sz w:val="20"/>
          <w:szCs w:val="20"/>
        </w:rPr>
        <w:footnoteReference w:id="13"/>
      </w:r>
      <w:r w:rsidR="00B876A9">
        <w:rPr>
          <w:rFonts w:ascii="Times New Roman" w:hAnsi="Times New Roman"/>
          <w:sz w:val="20"/>
          <w:szCs w:val="20"/>
        </w:rPr>
        <w:br/>
      </w:r>
      <w:r w:rsidR="00930A56" w:rsidRPr="00B876A9">
        <w:rPr>
          <w:rFonts w:ascii="Times New Roman" w:hAnsi="Times New Roman"/>
          <w:sz w:val="20"/>
          <w:szCs w:val="20"/>
        </w:rPr>
        <w:br/>
      </w:r>
      <w:r w:rsidR="002D51B8">
        <w:rPr>
          <w:rFonts w:ascii="Times New Roman" w:hAnsi="Times New Roman"/>
        </w:rPr>
        <w:t>In what follows we will assume a 20% risk weight for the senior tranche and a zero risk weight for the funded mezzanine tranche.  However, as we aim to replicate the ABX-HE index structure, the reference assets of the senior tranch</w:t>
      </w:r>
      <w:r w:rsidR="00B00B7D">
        <w:rPr>
          <w:rFonts w:ascii="Times New Roman" w:hAnsi="Times New Roman"/>
        </w:rPr>
        <w:t>e</w:t>
      </w:r>
      <w:r w:rsidR="002D51B8">
        <w:rPr>
          <w:rFonts w:ascii="Times New Roman" w:hAnsi="Times New Roman"/>
        </w:rPr>
        <w:t xml:space="preserve"> is assumed to be 40% and that of the mezzanine one to be 60%.</w:t>
      </w:r>
      <w:r w:rsidR="00A37386">
        <w:rPr>
          <w:rStyle w:val="FootnoteReference"/>
          <w:rFonts w:ascii="Times New Roman" w:hAnsi="Times New Roman"/>
        </w:rPr>
        <w:footnoteReference w:id="14"/>
      </w:r>
      <w:r w:rsidR="002D51B8">
        <w:rPr>
          <w:rFonts w:ascii="Times New Roman" w:hAnsi="Times New Roman"/>
        </w:rPr>
        <w:t xml:space="preserve"> </w:t>
      </w:r>
      <w:r w:rsidR="00F07E34" w:rsidRPr="00994DC2">
        <w:rPr>
          <w:rFonts w:ascii="Times New Roman" w:hAnsi="Times New Roman"/>
        </w:rPr>
        <w:t xml:space="preserve">The mezzanine tranches will </w:t>
      </w:r>
      <w:r w:rsidR="00B00B7D">
        <w:rPr>
          <w:rFonts w:ascii="Times New Roman" w:hAnsi="Times New Roman"/>
        </w:rPr>
        <w:t>follow sub-indexes with</w:t>
      </w:r>
      <w:r w:rsidR="00433D94">
        <w:rPr>
          <w:rFonts w:ascii="Times New Roman" w:hAnsi="Times New Roman"/>
        </w:rPr>
        <w:t xml:space="preserve"> ratings </w:t>
      </w:r>
      <w:proofErr w:type="gramStart"/>
      <w:r w:rsidR="00433D94">
        <w:rPr>
          <w:rFonts w:ascii="Times New Roman" w:hAnsi="Times New Roman"/>
        </w:rPr>
        <w:t xml:space="preserve">of  </w:t>
      </w:r>
      <w:r w:rsidR="00433D94" w:rsidRPr="00994DC2">
        <w:rPr>
          <w:rFonts w:ascii="Times New Roman" w:hAnsi="Times New Roman"/>
        </w:rPr>
        <w:t>AA</w:t>
      </w:r>
      <w:proofErr w:type="gramEnd"/>
      <w:r w:rsidR="00433D94" w:rsidRPr="00994DC2">
        <w:rPr>
          <w:rFonts w:ascii="Times New Roman" w:hAnsi="Times New Roman"/>
        </w:rPr>
        <w:t xml:space="preserve">, A, BBB, and BBB-  </w:t>
      </w:r>
      <w:r w:rsidR="00433D94">
        <w:rPr>
          <w:rFonts w:ascii="Times New Roman" w:hAnsi="Times New Roman"/>
        </w:rPr>
        <w:t xml:space="preserve">of the </w:t>
      </w:r>
      <w:r w:rsidR="00F07E34" w:rsidRPr="00994DC2">
        <w:rPr>
          <w:rFonts w:ascii="Times New Roman" w:hAnsi="Times New Roman"/>
        </w:rPr>
        <w:t xml:space="preserve">ABX-HE </w:t>
      </w:r>
      <w:r w:rsidR="00433D94">
        <w:rPr>
          <w:rFonts w:ascii="Times New Roman" w:hAnsi="Times New Roman"/>
        </w:rPr>
        <w:t xml:space="preserve">index. </w:t>
      </w:r>
      <w:r w:rsidR="00F07E34" w:rsidRPr="00994DC2">
        <w:rPr>
          <w:rFonts w:ascii="Times New Roman" w:hAnsi="Times New Roman"/>
        </w:rPr>
        <w:t xml:space="preserve"> </w:t>
      </w:r>
      <w:r w:rsidR="0025120C" w:rsidRPr="00994DC2">
        <w:rPr>
          <w:rFonts w:ascii="Times New Roman" w:hAnsi="Times New Roman"/>
        </w:rPr>
        <w:t>T</w:t>
      </w:r>
      <w:r w:rsidR="00F07E34" w:rsidRPr="00994DC2">
        <w:rPr>
          <w:rFonts w:ascii="Times New Roman" w:hAnsi="Times New Roman"/>
        </w:rPr>
        <w:t xml:space="preserve">he bank will optimize ownership of those </w:t>
      </w:r>
      <w:r w:rsidR="00B00B7D">
        <w:rPr>
          <w:rFonts w:ascii="Times New Roman" w:hAnsi="Times New Roman"/>
        </w:rPr>
        <w:t xml:space="preserve">sub-indexes </w:t>
      </w:r>
      <w:r w:rsidR="00F07E34" w:rsidRPr="00994DC2">
        <w:rPr>
          <w:rFonts w:ascii="Times New Roman" w:hAnsi="Times New Roman"/>
        </w:rPr>
        <w:t>that yield the largest CDS basis return.  This will be explained below</w:t>
      </w:r>
      <w:r w:rsidR="0025120C" w:rsidRPr="00994DC2">
        <w:rPr>
          <w:rFonts w:ascii="Times New Roman" w:hAnsi="Times New Roman"/>
        </w:rPr>
        <w:t>.</w:t>
      </w:r>
      <w:r w:rsidR="00F07E34" w:rsidRPr="00994DC2">
        <w:rPr>
          <w:rFonts w:ascii="Times New Roman" w:hAnsi="Times New Roman"/>
        </w:rPr>
        <w:t xml:space="preserve">        </w:t>
      </w:r>
      <w:r w:rsidR="00B876A9">
        <w:rPr>
          <w:rFonts w:ascii="Times New Roman" w:hAnsi="Times New Roman"/>
        </w:rPr>
        <w:br/>
      </w:r>
      <w:r w:rsidR="00F07E34" w:rsidRPr="00994DC2">
        <w:rPr>
          <w:rFonts w:ascii="Times New Roman" w:hAnsi="Times New Roman"/>
        </w:rPr>
        <w:t xml:space="preserve"> </w:t>
      </w:r>
      <w:r w:rsidR="00AC1CC9">
        <w:rPr>
          <w:b/>
        </w:rPr>
        <w:br/>
      </w:r>
      <w:r w:rsidR="00CC2E2A" w:rsidRPr="00AC1CC9">
        <w:rPr>
          <w:rFonts w:ascii="Times New Roman" w:hAnsi="Times New Roman"/>
          <w:b/>
        </w:rPr>
        <w:t xml:space="preserve">3. Simulation Model for Regulatory Capital Requirements </w:t>
      </w:r>
      <w:proofErr w:type="gramStart"/>
      <w:r w:rsidR="00CC2E2A" w:rsidRPr="00AC1CC9">
        <w:rPr>
          <w:rFonts w:ascii="Times New Roman" w:hAnsi="Times New Roman"/>
          <w:b/>
        </w:rPr>
        <w:t>With</w:t>
      </w:r>
      <w:proofErr w:type="gramEnd"/>
      <w:r w:rsidR="00CC2E2A" w:rsidRPr="00AC1CC9">
        <w:rPr>
          <w:rFonts w:ascii="Times New Roman" w:hAnsi="Times New Roman"/>
          <w:b/>
        </w:rPr>
        <w:t xml:space="preserve"> CDS Credit Risk </w:t>
      </w:r>
      <w:proofErr w:type="spellStart"/>
      <w:r w:rsidR="00CC2E2A" w:rsidRPr="00AC1CC9">
        <w:rPr>
          <w:rFonts w:ascii="Times New Roman" w:hAnsi="Times New Roman"/>
          <w:b/>
        </w:rPr>
        <w:t>Mitigant</w:t>
      </w:r>
      <w:proofErr w:type="spellEnd"/>
      <w:r w:rsidR="00930271" w:rsidRPr="00AC1CC9">
        <w:rPr>
          <w:rFonts w:ascii="Times New Roman" w:hAnsi="Times New Roman"/>
          <w:b/>
        </w:rPr>
        <w:br/>
      </w:r>
      <w:r w:rsidR="00CC2E2A" w:rsidRPr="00AC1CC9">
        <w:rPr>
          <w:rFonts w:ascii="Times New Roman" w:hAnsi="Times New Roman"/>
          <w:b/>
        </w:rPr>
        <w:t>3.1</w:t>
      </w:r>
      <w:r w:rsidR="00F07E34" w:rsidRPr="00AC1CC9">
        <w:rPr>
          <w:rFonts w:ascii="Times New Roman" w:hAnsi="Times New Roman"/>
          <w:b/>
        </w:rPr>
        <w:t xml:space="preserve"> CDS Capital Arbitrage Model</w:t>
      </w:r>
    </w:p>
    <w:p w:rsidR="00C65ADA" w:rsidRPr="00994DC2" w:rsidRDefault="00C65ADA" w:rsidP="00994DC2">
      <w:pPr>
        <w:pStyle w:val="Stylepaper-maintext"/>
        <w:spacing w:line="360" w:lineRule="auto"/>
        <w:rPr>
          <w:sz w:val="22"/>
          <w:szCs w:val="22"/>
        </w:rPr>
      </w:pPr>
      <w:r w:rsidRPr="00994DC2">
        <w:rPr>
          <w:sz w:val="22"/>
          <w:szCs w:val="22"/>
        </w:rPr>
        <w:t xml:space="preserve">Let </w:t>
      </w:r>
      <w:r w:rsidR="005D31B5" w:rsidRPr="005E3FF7">
        <w:rPr>
          <w:rFonts w:ascii="Symbol" w:hAnsi="Symbol"/>
        </w:rPr>
        <w:t></w:t>
      </w:r>
      <w:r w:rsidR="005D31B5" w:rsidRPr="005E3FF7">
        <w:rPr>
          <w:rFonts w:ascii="Symbol" w:hAnsi="Symbol"/>
        </w:rPr>
        <w:t></w:t>
      </w:r>
      <w:r w:rsidR="005D31B5">
        <w:rPr>
          <w:rFonts w:ascii="Symbol" w:hAnsi="Symbol"/>
        </w:rPr>
        <w:t></w:t>
      </w:r>
      <w:r w:rsidRPr="00994DC2">
        <w:rPr>
          <w:sz w:val="22"/>
          <w:szCs w:val="22"/>
        </w:rPr>
        <w:t xml:space="preserve">and </w:t>
      </w:r>
      <w:r w:rsidR="005D31B5" w:rsidRPr="005E3FF7">
        <w:rPr>
          <w:rFonts w:ascii="Symbol" w:hAnsi="Symbol"/>
        </w:rPr>
        <w:t></w:t>
      </w:r>
      <w:r w:rsidR="005D31B5" w:rsidRPr="005E3FF7">
        <w:rPr>
          <w:rFonts w:ascii="Symbol" w:hAnsi="Symbol"/>
        </w:rPr>
        <w:t></w:t>
      </w:r>
      <w:r w:rsidR="005D31B5" w:rsidRPr="005E3FF7">
        <w:rPr>
          <w:vertAlign w:val="subscript"/>
        </w:rPr>
        <w:t>i</w:t>
      </w:r>
      <w:r w:rsidR="005D31B5" w:rsidRPr="00994DC2">
        <w:rPr>
          <w:sz w:val="22"/>
          <w:szCs w:val="22"/>
        </w:rPr>
        <w:t xml:space="preserve"> </w:t>
      </w:r>
      <w:r w:rsidR="002D51B8">
        <w:rPr>
          <w:sz w:val="22"/>
          <w:szCs w:val="22"/>
        </w:rPr>
        <w:t>,</w:t>
      </w:r>
      <w:r w:rsidRPr="00994DC2">
        <w:rPr>
          <w:sz w:val="22"/>
          <w:szCs w:val="22"/>
        </w:rPr>
        <w:t xml:space="preserve">respectively, denote the 8% regulatory capital requirement and the regulatory risk weight on the </w:t>
      </w:r>
      <w:r w:rsidR="009D77EA" w:rsidRPr="00994DC2">
        <w:rPr>
          <w:sz w:val="22"/>
          <w:szCs w:val="22"/>
        </w:rPr>
        <w:t>CDO tranche i</w:t>
      </w:r>
      <w:r w:rsidRPr="00994DC2">
        <w:rPr>
          <w:sz w:val="22"/>
          <w:szCs w:val="22"/>
        </w:rPr>
        <w:t xml:space="preserve"> without the credit risk </w:t>
      </w:r>
      <w:proofErr w:type="spellStart"/>
      <w:r w:rsidRPr="00994DC2">
        <w:rPr>
          <w:sz w:val="22"/>
          <w:szCs w:val="22"/>
        </w:rPr>
        <w:t>mitigant</w:t>
      </w:r>
      <w:proofErr w:type="spellEnd"/>
      <w:r w:rsidRPr="00994DC2">
        <w:rPr>
          <w:sz w:val="22"/>
          <w:szCs w:val="22"/>
        </w:rPr>
        <w:t xml:space="preserve"> (CRM) and </w:t>
      </w:r>
      <w:r w:rsidR="005D31B5" w:rsidRPr="005E3FF7">
        <w:rPr>
          <w:rFonts w:ascii="Symbol" w:hAnsi="Symbol"/>
        </w:rPr>
        <w:t></w:t>
      </w:r>
      <w:proofErr w:type="spellStart"/>
      <w:r w:rsidR="005D31B5" w:rsidRPr="005E3FF7">
        <w:rPr>
          <w:vertAlign w:val="subscript"/>
        </w:rPr>
        <w:t>i</w:t>
      </w:r>
      <w:proofErr w:type="spellEnd"/>
      <w:r w:rsidR="005D31B5" w:rsidRPr="005E3FF7">
        <w:t xml:space="preserve"> </w:t>
      </w:r>
      <w:r w:rsidR="005D31B5" w:rsidRPr="005E3FF7">
        <w:rPr>
          <w:vertAlign w:val="superscript"/>
        </w:rPr>
        <w:t>CRM</w:t>
      </w:r>
      <w:r w:rsidR="005D31B5" w:rsidRPr="005E3FF7">
        <w:t xml:space="preserve">  </w:t>
      </w:r>
      <w:r w:rsidRPr="00994DC2">
        <w:rPr>
          <w:sz w:val="22"/>
          <w:szCs w:val="22"/>
        </w:rPr>
        <w:t xml:space="preserve">is the risk weight commensurate with credit risk </w:t>
      </w:r>
      <w:proofErr w:type="spellStart"/>
      <w:r w:rsidRPr="00994DC2">
        <w:rPr>
          <w:sz w:val="22"/>
          <w:szCs w:val="22"/>
        </w:rPr>
        <w:t>mitigant</w:t>
      </w:r>
      <w:proofErr w:type="spellEnd"/>
      <w:r w:rsidRPr="00994DC2">
        <w:rPr>
          <w:sz w:val="22"/>
          <w:szCs w:val="22"/>
        </w:rPr>
        <w:t xml:space="preserve">.  </w:t>
      </w:r>
      <w:r w:rsidR="007162E2" w:rsidRPr="00994DC2">
        <w:rPr>
          <w:sz w:val="22"/>
          <w:szCs w:val="22"/>
        </w:rPr>
        <w:t xml:space="preserve">The latter is assumed to </w:t>
      </w:r>
      <w:r w:rsidR="00211B0C" w:rsidRPr="00994DC2">
        <w:rPr>
          <w:sz w:val="22"/>
          <w:szCs w:val="22"/>
        </w:rPr>
        <w:t xml:space="preserve">be </w:t>
      </w:r>
      <w:r w:rsidR="007162E2" w:rsidRPr="00994DC2">
        <w:rPr>
          <w:sz w:val="22"/>
          <w:szCs w:val="22"/>
        </w:rPr>
        <w:t xml:space="preserve">issued by an AAA rated company </w:t>
      </w:r>
      <w:r w:rsidR="007162E2" w:rsidRPr="00994DC2">
        <w:rPr>
          <w:sz w:val="22"/>
          <w:szCs w:val="22"/>
        </w:rPr>
        <w:lastRenderedPageBreak/>
        <w:t xml:space="preserve">in the form of CDS cover. </w:t>
      </w:r>
      <w:r w:rsidRPr="00994DC2">
        <w:rPr>
          <w:sz w:val="22"/>
          <w:szCs w:val="22"/>
        </w:rPr>
        <w:t>The savings in risk capital given by</w:t>
      </w:r>
      <w:r w:rsidR="005D31B5">
        <w:rPr>
          <w:sz w:val="22"/>
          <w:szCs w:val="22"/>
        </w:rPr>
        <w:t xml:space="preserve"> </w:t>
      </w:r>
      <w:r w:rsidR="005D31B5" w:rsidRPr="005E3FF7">
        <w:rPr>
          <w:rFonts w:ascii="Symbol" w:hAnsi="Symbol"/>
        </w:rPr>
        <w:t></w:t>
      </w:r>
      <w:r w:rsidR="005D31B5" w:rsidRPr="005E3FF7">
        <w:rPr>
          <w:rFonts w:ascii="Symbol" w:hAnsi="Symbol"/>
        </w:rPr>
        <w:t></w:t>
      </w:r>
      <w:r w:rsidR="005D31B5" w:rsidRPr="005E3FF7">
        <w:rPr>
          <w:rFonts w:ascii="Symbol" w:hAnsi="Symbol"/>
        </w:rPr>
        <w:t></w:t>
      </w:r>
      <w:r w:rsidR="005D31B5" w:rsidRPr="005E3FF7">
        <w:rPr>
          <w:rFonts w:ascii="Symbol" w:hAnsi="Symbol"/>
        </w:rPr>
        <w:t></w:t>
      </w:r>
      <w:proofErr w:type="spellStart"/>
      <w:r w:rsidR="005D31B5" w:rsidRPr="005E3FF7">
        <w:rPr>
          <w:vertAlign w:val="subscript"/>
        </w:rPr>
        <w:t>i</w:t>
      </w:r>
      <w:proofErr w:type="spellEnd"/>
      <w:r w:rsidR="005D31B5" w:rsidRPr="005E3FF7">
        <w:rPr>
          <w:rFonts w:ascii="Symbol" w:hAnsi="Symbol"/>
        </w:rPr>
        <w:t></w:t>
      </w:r>
      <w:r w:rsidR="005D31B5" w:rsidRPr="005E3FF7">
        <w:rPr>
          <w:rFonts w:ascii="Symbol" w:hAnsi="Symbol"/>
        </w:rPr>
        <w:t></w:t>
      </w:r>
      <w:r w:rsidR="005D31B5" w:rsidRPr="005E3FF7">
        <w:rPr>
          <w:rFonts w:ascii="Symbol" w:hAnsi="Symbol"/>
        </w:rPr>
        <w:t></w:t>
      </w:r>
      <w:r w:rsidR="005D31B5" w:rsidRPr="005E3FF7">
        <w:rPr>
          <w:rFonts w:ascii="Symbol" w:hAnsi="Symbol"/>
        </w:rPr>
        <w:t></w:t>
      </w:r>
      <w:r w:rsidR="005D31B5" w:rsidRPr="005E3FF7">
        <w:rPr>
          <w:rFonts w:ascii="Symbol" w:hAnsi="Symbol"/>
        </w:rPr>
        <w:t></w:t>
      </w:r>
      <w:proofErr w:type="spellStart"/>
      <w:r w:rsidR="005D31B5" w:rsidRPr="005E3FF7">
        <w:rPr>
          <w:vertAlign w:val="subscript"/>
        </w:rPr>
        <w:t>i</w:t>
      </w:r>
      <w:proofErr w:type="spellEnd"/>
      <w:r w:rsidR="005D31B5" w:rsidRPr="005E3FF7">
        <w:t xml:space="preserve"> </w:t>
      </w:r>
      <w:r w:rsidR="00767378" w:rsidRPr="005E3FF7">
        <w:rPr>
          <w:vertAlign w:val="superscript"/>
        </w:rPr>
        <w:t>CRM</w:t>
      </w:r>
      <w:proofErr w:type="gramStart"/>
      <w:r w:rsidR="00767378" w:rsidRPr="005E3FF7">
        <w:t>)</w:t>
      </w:r>
      <w:r w:rsidR="005D31B5" w:rsidRPr="005E3FF7">
        <w:t xml:space="preserve"> </w:t>
      </w:r>
      <w:r w:rsidRPr="00994DC2">
        <w:rPr>
          <w:sz w:val="22"/>
          <w:szCs w:val="22"/>
        </w:rPr>
        <w:t xml:space="preserve"> </w:t>
      </w:r>
      <w:r w:rsidR="005D31B5">
        <w:rPr>
          <w:sz w:val="22"/>
          <w:szCs w:val="22"/>
        </w:rPr>
        <w:t>in</w:t>
      </w:r>
      <w:proofErr w:type="gramEnd"/>
      <w:r w:rsidR="005D31B5">
        <w:rPr>
          <w:sz w:val="22"/>
          <w:szCs w:val="22"/>
        </w:rPr>
        <w:t xml:space="preserve"> basis points </w:t>
      </w:r>
      <w:r w:rsidR="007162E2" w:rsidRPr="00994DC2">
        <w:rPr>
          <w:sz w:val="22"/>
          <w:szCs w:val="22"/>
        </w:rPr>
        <w:t xml:space="preserve">must in principle exceed the net cost of purchasing CDS and acquiring the CDO tranche. </w:t>
      </w:r>
      <w:r w:rsidR="005D31B5">
        <w:rPr>
          <w:sz w:val="22"/>
          <w:szCs w:val="22"/>
        </w:rPr>
        <w:t xml:space="preserve"> </w:t>
      </w:r>
      <w:r w:rsidR="00F91D0D" w:rsidRPr="00994DC2">
        <w:rPr>
          <w:sz w:val="22"/>
          <w:szCs w:val="22"/>
        </w:rPr>
        <w:t>For this the</w:t>
      </w:r>
      <w:r w:rsidR="009D77EA" w:rsidRPr="00994DC2">
        <w:rPr>
          <w:sz w:val="22"/>
          <w:szCs w:val="22"/>
        </w:rPr>
        <w:t xml:space="preserve"> CDS spread </w:t>
      </w:r>
      <w:proofErr w:type="spellStart"/>
      <w:r w:rsidR="009D77EA" w:rsidRPr="00994DC2">
        <w:rPr>
          <w:sz w:val="22"/>
          <w:szCs w:val="22"/>
        </w:rPr>
        <w:t>λ</w:t>
      </w:r>
      <w:r w:rsidR="009D77EA" w:rsidRPr="00994DC2">
        <w:rPr>
          <w:sz w:val="22"/>
          <w:szCs w:val="22"/>
          <w:vertAlign w:val="subscript"/>
        </w:rPr>
        <w:t>it</w:t>
      </w:r>
      <w:proofErr w:type="spellEnd"/>
      <w:r w:rsidR="00E631E3">
        <w:rPr>
          <w:sz w:val="22"/>
          <w:szCs w:val="22"/>
          <w:vertAlign w:val="subscript"/>
        </w:rPr>
        <w:t xml:space="preserve"> </w:t>
      </w:r>
      <w:r w:rsidR="00E631E3">
        <w:rPr>
          <w:sz w:val="22"/>
          <w:szCs w:val="22"/>
        </w:rPr>
        <w:t>at time t</w:t>
      </w:r>
      <w:r w:rsidR="009D77EA" w:rsidRPr="00994DC2">
        <w:rPr>
          <w:sz w:val="22"/>
          <w:szCs w:val="22"/>
        </w:rPr>
        <w:t xml:space="preserve"> has to be contrasted with the CDO bond spread given </w:t>
      </w:r>
      <w:r w:rsidR="00E631E3">
        <w:rPr>
          <w:sz w:val="22"/>
          <w:szCs w:val="22"/>
        </w:rPr>
        <w:t xml:space="preserve">as the yield minus the risk free rate </w:t>
      </w:r>
      <w:r w:rsidR="009D77EA" w:rsidRPr="00994DC2">
        <w:rPr>
          <w:sz w:val="22"/>
          <w:szCs w:val="22"/>
        </w:rPr>
        <w:t>(</w:t>
      </w:r>
      <w:proofErr w:type="spellStart"/>
      <w:r w:rsidR="009D77EA" w:rsidRPr="00994DC2">
        <w:rPr>
          <w:sz w:val="22"/>
          <w:szCs w:val="22"/>
        </w:rPr>
        <w:t>y</w:t>
      </w:r>
      <w:r w:rsidR="009D77EA" w:rsidRPr="00994DC2">
        <w:rPr>
          <w:sz w:val="22"/>
          <w:szCs w:val="22"/>
          <w:vertAlign w:val="subscript"/>
        </w:rPr>
        <w:t>it</w:t>
      </w:r>
      <w:proofErr w:type="spellEnd"/>
      <w:r w:rsidR="009D77EA" w:rsidRPr="00994DC2">
        <w:rPr>
          <w:sz w:val="22"/>
          <w:szCs w:val="22"/>
          <w:vertAlign w:val="subscript"/>
        </w:rPr>
        <w:t xml:space="preserve"> </w:t>
      </w:r>
      <w:r w:rsidR="009D77EA" w:rsidRPr="00994DC2">
        <w:rPr>
          <w:sz w:val="22"/>
          <w:szCs w:val="22"/>
        </w:rPr>
        <w:t xml:space="preserve">- </w:t>
      </w:r>
      <w:proofErr w:type="spellStart"/>
      <w:proofErr w:type="gramStart"/>
      <w:r w:rsidR="009D77EA" w:rsidRPr="00994DC2">
        <w:rPr>
          <w:sz w:val="22"/>
          <w:szCs w:val="22"/>
        </w:rPr>
        <w:t>r</w:t>
      </w:r>
      <w:r w:rsidR="009D77EA" w:rsidRPr="00994DC2">
        <w:rPr>
          <w:sz w:val="22"/>
          <w:szCs w:val="22"/>
          <w:vertAlign w:val="subscript"/>
        </w:rPr>
        <w:t>t</w:t>
      </w:r>
      <w:proofErr w:type="spellEnd"/>
      <w:proofErr w:type="gramEnd"/>
      <w:r w:rsidR="009D77EA" w:rsidRPr="00994DC2">
        <w:rPr>
          <w:sz w:val="22"/>
          <w:szCs w:val="22"/>
        </w:rPr>
        <w:t>)</w:t>
      </w:r>
      <w:r w:rsidR="00B00B7D">
        <w:rPr>
          <w:sz w:val="22"/>
          <w:szCs w:val="22"/>
        </w:rPr>
        <w:t>.</w:t>
      </w:r>
      <w:r w:rsidR="00DB2EDC">
        <w:rPr>
          <w:sz w:val="22"/>
          <w:szCs w:val="22"/>
        </w:rPr>
        <w:t xml:space="preserve">  </w:t>
      </w:r>
      <w:r w:rsidR="00211B0C" w:rsidRPr="00994DC2">
        <w:rPr>
          <w:sz w:val="22"/>
          <w:szCs w:val="22"/>
        </w:rPr>
        <w:t xml:space="preserve">This </w:t>
      </w:r>
      <w:r w:rsidR="00F470B3" w:rsidRPr="00994DC2">
        <w:rPr>
          <w:sz w:val="22"/>
          <w:szCs w:val="22"/>
        </w:rPr>
        <w:t>condition for the profitability of CDS based capital reduction</w:t>
      </w:r>
      <w:r w:rsidR="00B00B7D">
        <w:rPr>
          <w:sz w:val="22"/>
          <w:szCs w:val="22"/>
        </w:rPr>
        <w:t xml:space="preserve"> for </w:t>
      </w:r>
      <w:r w:rsidR="00DB2EDC">
        <w:rPr>
          <w:sz w:val="22"/>
          <w:szCs w:val="22"/>
        </w:rPr>
        <w:t>structur</w:t>
      </w:r>
      <w:r w:rsidR="007F7DDE">
        <w:rPr>
          <w:sz w:val="22"/>
          <w:szCs w:val="22"/>
        </w:rPr>
        <w:t>ed</w:t>
      </w:r>
      <w:r w:rsidR="00DB2EDC">
        <w:rPr>
          <w:sz w:val="22"/>
          <w:szCs w:val="22"/>
        </w:rPr>
        <w:t xml:space="preserve"> </w:t>
      </w:r>
      <w:r w:rsidR="00B00B7D">
        <w:rPr>
          <w:sz w:val="22"/>
          <w:szCs w:val="22"/>
        </w:rPr>
        <w:t>RMBS reference assets</w:t>
      </w:r>
      <w:r w:rsidR="00F470B3" w:rsidRPr="00994DC2">
        <w:rPr>
          <w:sz w:val="22"/>
          <w:szCs w:val="22"/>
        </w:rPr>
        <w:t xml:space="preserve"> </w:t>
      </w:r>
      <w:r w:rsidR="00211B0C" w:rsidRPr="00994DC2">
        <w:rPr>
          <w:sz w:val="22"/>
          <w:szCs w:val="22"/>
        </w:rPr>
        <w:t>is as follows</w:t>
      </w:r>
      <w:r w:rsidR="00F470B3" w:rsidRPr="00994DC2">
        <w:rPr>
          <w:sz w:val="22"/>
          <w:szCs w:val="22"/>
        </w:rPr>
        <w:t>:</w:t>
      </w:r>
    </w:p>
    <w:p w:rsidR="00304374" w:rsidRPr="005E3FF7" w:rsidRDefault="00304374" w:rsidP="00304374">
      <w:pPr>
        <w:pStyle w:val="NormalWeb"/>
        <w:ind w:firstLine="720"/>
        <w:jc w:val="both"/>
      </w:pPr>
      <w:r w:rsidRPr="005E3FF7">
        <w:rPr>
          <w:rFonts w:ascii="Symbol" w:hAnsi="Symbol"/>
        </w:rPr>
        <w:t></w:t>
      </w:r>
      <w:r w:rsidRPr="005E3FF7">
        <w:rPr>
          <w:rFonts w:ascii="Symbol" w:hAnsi="Symbol"/>
        </w:rPr>
        <w:t></w:t>
      </w:r>
      <w:r w:rsidRPr="005E3FF7">
        <w:rPr>
          <w:rFonts w:ascii="Symbol" w:hAnsi="Symbol"/>
        </w:rPr>
        <w:t></w:t>
      </w:r>
      <w:r w:rsidRPr="005E3FF7">
        <w:rPr>
          <w:rFonts w:ascii="Symbol" w:hAnsi="Symbol"/>
        </w:rPr>
        <w:t></w:t>
      </w:r>
      <w:proofErr w:type="spellStart"/>
      <w:r w:rsidRPr="005E3FF7">
        <w:rPr>
          <w:vertAlign w:val="subscript"/>
        </w:rPr>
        <w:t>i</w:t>
      </w:r>
      <w:proofErr w:type="spellEnd"/>
      <w:r w:rsidRPr="005E3FF7">
        <w:rPr>
          <w:rFonts w:ascii="Symbol" w:hAnsi="Symbol"/>
        </w:rPr>
        <w:t></w:t>
      </w:r>
      <w:r w:rsidRPr="005E3FF7">
        <w:rPr>
          <w:rFonts w:ascii="Symbol" w:hAnsi="Symbol"/>
        </w:rPr>
        <w:t></w:t>
      </w:r>
      <w:r w:rsidRPr="005E3FF7">
        <w:rPr>
          <w:rFonts w:ascii="Symbol" w:hAnsi="Symbol"/>
        </w:rPr>
        <w:t></w:t>
      </w:r>
      <w:r w:rsidRPr="005E3FF7">
        <w:rPr>
          <w:rFonts w:ascii="Symbol" w:hAnsi="Symbol"/>
        </w:rPr>
        <w:t></w:t>
      </w:r>
      <w:r w:rsidRPr="005E3FF7">
        <w:rPr>
          <w:rFonts w:ascii="Symbol" w:hAnsi="Symbol"/>
        </w:rPr>
        <w:t></w:t>
      </w:r>
      <w:proofErr w:type="spellStart"/>
      <w:r w:rsidRPr="005E3FF7">
        <w:rPr>
          <w:vertAlign w:val="subscript"/>
        </w:rPr>
        <w:t>i</w:t>
      </w:r>
      <w:proofErr w:type="spellEnd"/>
      <w:r w:rsidRPr="005E3FF7">
        <w:t xml:space="preserve"> </w:t>
      </w:r>
      <w:r w:rsidR="00767378" w:rsidRPr="005E3FF7">
        <w:rPr>
          <w:vertAlign w:val="superscript"/>
        </w:rPr>
        <w:t>CRM</w:t>
      </w:r>
      <w:r w:rsidR="00767378" w:rsidRPr="005E3FF7">
        <w:t>)</w:t>
      </w:r>
      <w:r w:rsidRPr="005E3FF7">
        <w:t xml:space="preserve"> &gt; (</w:t>
      </w:r>
      <w:proofErr w:type="spellStart"/>
      <w:r w:rsidRPr="005E3FF7">
        <w:t>λ</w:t>
      </w:r>
      <w:r w:rsidR="00DB2EDC">
        <w:rPr>
          <w:vertAlign w:val="subscript"/>
        </w:rPr>
        <w:t>i</w:t>
      </w:r>
      <w:r w:rsidRPr="005E3FF7">
        <w:rPr>
          <w:vertAlign w:val="subscript"/>
        </w:rPr>
        <w:t>t</w:t>
      </w:r>
      <w:proofErr w:type="spellEnd"/>
      <w:r w:rsidRPr="005E3FF7">
        <w:t xml:space="preserve"> </w:t>
      </w:r>
      <w:proofErr w:type="gramStart"/>
      <w:r w:rsidRPr="005E3FF7">
        <w:t xml:space="preserve">– </w:t>
      </w:r>
      <w:r>
        <w:t xml:space="preserve"> (</w:t>
      </w:r>
      <w:proofErr w:type="spellStart"/>
      <w:proofErr w:type="gramEnd"/>
      <w:r w:rsidRPr="005E3FF7">
        <w:t>y</w:t>
      </w:r>
      <w:r w:rsidRPr="005E3FF7">
        <w:rPr>
          <w:vertAlign w:val="subscript"/>
        </w:rPr>
        <w:t>it</w:t>
      </w:r>
      <w:proofErr w:type="spellEnd"/>
      <w:r w:rsidRPr="005E3FF7">
        <w:rPr>
          <w:vertAlign w:val="subscript"/>
        </w:rPr>
        <w:t xml:space="preserve"> </w:t>
      </w:r>
      <w:r w:rsidRPr="005E3FF7">
        <w:t xml:space="preserve">- </w:t>
      </w:r>
      <w:proofErr w:type="spellStart"/>
      <w:r w:rsidRPr="005E3FF7">
        <w:t>r</w:t>
      </w:r>
      <w:r w:rsidRPr="005E3FF7">
        <w:rPr>
          <w:vertAlign w:val="subscript"/>
        </w:rPr>
        <w:t>t</w:t>
      </w:r>
      <w:proofErr w:type="spellEnd"/>
      <w:r w:rsidRPr="005E3FF7">
        <w:t>)</w:t>
      </w:r>
      <w:r>
        <w:t>)</w:t>
      </w:r>
      <w:r w:rsidRPr="005E3FF7">
        <w:t xml:space="preserve">  </w:t>
      </w:r>
      <w:r w:rsidRPr="005E3FF7">
        <w:rPr>
          <w:vertAlign w:val="superscript"/>
        </w:rPr>
        <w:t xml:space="preserve">                                    </w:t>
      </w:r>
      <w:r w:rsidRPr="005E3FF7">
        <w:t>(1)</w:t>
      </w:r>
      <w:r w:rsidRPr="005E3FF7">
        <w:rPr>
          <w:vertAlign w:val="superscript"/>
        </w:rPr>
        <w:t xml:space="preserve">                                                         </w:t>
      </w:r>
    </w:p>
    <w:p w:rsidR="00304374" w:rsidRPr="00AC1CC9" w:rsidRDefault="00304374" w:rsidP="002F5476">
      <w:pPr>
        <w:pStyle w:val="NormalWeb"/>
        <w:spacing w:line="240" w:lineRule="auto"/>
        <w:rPr>
          <w:sz w:val="22"/>
          <w:szCs w:val="22"/>
        </w:rPr>
      </w:pPr>
      <w:proofErr w:type="spellStart"/>
      <w:r w:rsidRPr="00AC1CC9">
        <w:rPr>
          <w:sz w:val="22"/>
          <w:szCs w:val="22"/>
        </w:rPr>
        <w:t>λ</w:t>
      </w:r>
      <w:r w:rsidR="004734A4" w:rsidRPr="00AC1CC9">
        <w:rPr>
          <w:sz w:val="22"/>
          <w:szCs w:val="22"/>
          <w:vertAlign w:val="subscript"/>
        </w:rPr>
        <w:t>i</w:t>
      </w:r>
      <w:r w:rsidRPr="00AC1CC9">
        <w:rPr>
          <w:sz w:val="22"/>
          <w:szCs w:val="22"/>
          <w:vertAlign w:val="subscript"/>
        </w:rPr>
        <w:t>t</w:t>
      </w:r>
      <w:proofErr w:type="spellEnd"/>
      <w:r w:rsidRPr="00AC1CC9">
        <w:rPr>
          <w:sz w:val="22"/>
          <w:szCs w:val="22"/>
        </w:rPr>
        <w:t>: CDS sprea</w:t>
      </w:r>
      <w:bookmarkStart w:id="1" w:name="_GoBack"/>
      <w:bookmarkEnd w:id="1"/>
      <w:r w:rsidRPr="00AC1CC9">
        <w:rPr>
          <w:sz w:val="22"/>
          <w:szCs w:val="22"/>
        </w:rPr>
        <w:t>d</w:t>
      </w:r>
      <w:r w:rsidR="00E631E3" w:rsidRPr="00AC1CC9">
        <w:rPr>
          <w:sz w:val="22"/>
          <w:szCs w:val="22"/>
        </w:rPr>
        <w:t xml:space="preserve"> at time t</w:t>
      </w:r>
      <w:r w:rsidRPr="00AC1CC9">
        <w:rPr>
          <w:sz w:val="22"/>
          <w:szCs w:val="22"/>
        </w:rPr>
        <w:t xml:space="preserve"> </w:t>
      </w:r>
      <w:r w:rsidR="004A6547" w:rsidRPr="00AC1CC9">
        <w:rPr>
          <w:sz w:val="22"/>
          <w:szCs w:val="22"/>
        </w:rPr>
        <w:t>given as the annual cost of protection over a N-year period is</w:t>
      </w:r>
      <w:r w:rsidR="007F7DDE" w:rsidRPr="00AC1CC9">
        <w:rPr>
          <w:sz w:val="22"/>
          <w:szCs w:val="22"/>
        </w:rPr>
        <w:t xml:space="preserve"> defined as </w:t>
      </w:r>
      <w:proofErr w:type="spellStart"/>
      <w:proofErr w:type="gramStart"/>
      <w:r w:rsidR="004A6547" w:rsidRPr="00AC1CC9">
        <w:rPr>
          <w:sz w:val="22"/>
          <w:szCs w:val="22"/>
        </w:rPr>
        <w:t>λ</w:t>
      </w:r>
      <w:r w:rsidR="004734A4" w:rsidRPr="00AC1CC9">
        <w:rPr>
          <w:sz w:val="22"/>
          <w:szCs w:val="22"/>
          <w:vertAlign w:val="subscript"/>
        </w:rPr>
        <w:t>i</w:t>
      </w:r>
      <w:r w:rsidR="004A6547" w:rsidRPr="00AC1CC9">
        <w:rPr>
          <w:sz w:val="22"/>
          <w:szCs w:val="22"/>
          <w:vertAlign w:val="subscript"/>
        </w:rPr>
        <w:t>t</w:t>
      </w:r>
      <w:proofErr w:type="spellEnd"/>
      <w:r w:rsidR="004A6547" w:rsidRPr="00AC1CC9">
        <w:rPr>
          <w:sz w:val="22"/>
          <w:szCs w:val="22"/>
        </w:rPr>
        <w:t xml:space="preserve">  =</w:t>
      </w:r>
      <w:proofErr w:type="gramEnd"/>
      <w:r w:rsidR="004A6547" w:rsidRPr="00AC1CC9">
        <w:rPr>
          <w:sz w:val="22"/>
          <w:szCs w:val="22"/>
        </w:rPr>
        <w:t xml:space="preserve">  [(100-CDS price</w:t>
      </w:r>
      <w:r w:rsidR="004734A4" w:rsidRPr="00AC1CC9">
        <w:rPr>
          <w:sz w:val="22"/>
          <w:szCs w:val="22"/>
        </w:rPr>
        <w:t xml:space="preserve"> </w:t>
      </w:r>
      <w:r w:rsidR="007F7DDE" w:rsidRPr="00AC1CC9">
        <w:rPr>
          <w:sz w:val="22"/>
          <w:szCs w:val="22"/>
        </w:rPr>
        <w:t xml:space="preserve">at time t </w:t>
      </w:r>
      <w:r w:rsidR="004734A4" w:rsidRPr="00AC1CC9">
        <w:rPr>
          <w:sz w:val="22"/>
          <w:szCs w:val="22"/>
        </w:rPr>
        <w:t xml:space="preserve">of </w:t>
      </w:r>
      <w:proofErr w:type="spellStart"/>
      <w:r w:rsidR="004734A4" w:rsidRPr="00AC1CC9">
        <w:rPr>
          <w:sz w:val="22"/>
          <w:szCs w:val="22"/>
        </w:rPr>
        <w:t>ith</w:t>
      </w:r>
      <w:proofErr w:type="spellEnd"/>
      <w:r w:rsidR="004734A4" w:rsidRPr="00AC1CC9">
        <w:rPr>
          <w:sz w:val="22"/>
          <w:szCs w:val="22"/>
        </w:rPr>
        <w:t xml:space="preserve"> ABX-HE </w:t>
      </w:r>
      <w:proofErr w:type="spellStart"/>
      <w:r w:rsidR="004734A4" w:rsidRPr="00AC1CC9">
        <w:rPr>
          <w:sz w:val="22"/>
          <w:szCs w:val="22"/>
        </w:rPr>
        <w:t>subindex</w:t>
      </w:r>
      <w:proofErr w:type="spellEnd"/>
      <w:r w:rsidR="004734A4" w:rsidRPr="00AC1CC9">
        <w:rPr>
          <w:sz w:val="22"/>
          <w:szCs w:val="22"/>
        </w:rPr>
        <w:t xml:space="preserve"> </w:t>
      </w:r>
      <w:r w:rsidR="004A6547" w:rsidRPr="00AC1CC9">
        <w:rPr>
          <w:sz w:val="22"/>
          <w:szCs w:val="22"/>
        </w:rPr>
        <w:t>)/ N*100] + fixed premium</w:t>
      </w:r>
      <w:r w:rsidRPr="00AC1CC9">
        <w:rPr>
          <w:sz w:val="22"/>
          <w:szCs w:val="22"/>
        </w:rPr>
        <w:br/>
      </w:r>
      <w:r w:rsidRPr="00AC1CC9">
        <w:rPr>
          <w:rFonts w:ascii="Symbol" w:hAnsi="Symbol"/>
          <w:sz w:val="22"/>
          <w:szCs w:val="22"/>
        </w:rPr>
        <w:t></w:t>
      </w:r>
      <w:proofErr w:type="spellStart"/>
      <w:r w:rsidRPr="00AC1CC9">
        <w:rPr>
          <w:sz w:val="22"/>
          <w:szCs w:val="22"/>
          <w:vertAlign w:val="subscript"/>
        </w:rPr>
        <w:t>i</w:t>
      </w:r>
      <w:proofErr w:type="spellEnd"/>
      <w:r w:rsidRPr="00AC1CC9">
        <w:rPr>
          <w:sz w:val="22"/>
          <w:szCs w:val="22"/>
        </w:rPr>
        <w:t xml:space="preserve"> : Risk weight on </w:t>
      </w:r>
      <w:proofErr w:type="spellStart"/>
      <w:r w:rsidRPr="00AC1CC9">
        <w:rPr>
          <w:sz w:val="22"/>
          <w:szCs w:val="22"/>
        </w:rPr>
        <w:t>ith</w:t>
      </w:r>
      <w:proofErr w:type="spellEnd"/>
      <w:r w:rsidRPr="00AC1CC9">
        <w:rPr>
          <w:sz w:val="22"/>
          <w:szCs w:val="22"/>
        </w:rPr>
        <w:t xml:space="preserve"> CDO tranche without credit risk </w:t>
      </w:r>
      <w:proofErr w:type="spellStart"/>
      <w:r w:rsidRPr="00AC1CC9">
        <w:rPr>
          <w:sz w:val="22"/>
          <w:szCs w:val="22"/>
        </w:rPr>
        <w:t>mitigant</w:t>
      </w:r>
      <w:proofErr w:type="spellEnd"/>
      <w:r w:rsidRPr="00AC1CC9">
        <w:rPr>
          <w:sz w:val="22"/>
          <w:szCs w:val="22"/>
        </w:rPr>
        <w:t xml:space="preserve">  </w:t>
      </w:r>
      <w:r w:rsidRPr="00AC1CC9">
        <w:rPr>
          <w:sz w:val="22"/>
          <w:szCs w:val="22"/>
        </w:rPr>
        <w:br/>
      </w:r>
      <w:r w:rsidRPr="00AC1CC9">
        <w:rPr>
          <w:rFonts w:ascii="Symbol" w:hAnsi="Symbol"/>
          <w:sz w:val="22"/>
          <w:szCs w:val="22"/>
        </w:rPr>
        <w:t></w:t>
      </w:r>
      <w:proofErr w:type="spellStart"/>
      <w:r w:rsidRPr="00AC1CC9">
        <w:rPr>
          <w:sz w:val="22"/>
          <w:szCs w:val="22"/>
          <w:vertAlign w:val="subscript"/>
        </w:rPr>
        <w:t>i</w:t>
      </w:r>
      <w:proofErr w:type="spellEnd"/>
      <w:r w:rsidRPr="00AC1CC9">
        <w:rPr>
          <w:sz w:val="22"/>
          <w:szCs w:val="22"/>
        </w:rPr>
        <w:t xml:space="preserve"> </w:t>
      </w:r>
      <w:r w:rsidRPr="00AC1CC9">
        <w:rPr>
          <w:sz w:val="22"/>
          <w:szCs w:val="22"/>
          <w:vertAlign w:val="superscript"/>
        </w:rPr>
        <w:t>CRM</w:t>
      </w:r>
      <w:r w:rsidRPr="00AC1CC9">
        <w:rPr>
          <w:sz w:val="22"/>
          <w:szCs w:val="22"/>
        </w:rPr>
        <w:t xml:space="preserve">  : Risk weight on </w:t>
      </w:r>
      <w:proofErr w:type="spellStart"/>
      <w:r w:rsidRPr="00AC1CC9">
        <w:rPr>
          <w:sz w:val="22"/>
          <w:szCs w:val="22"/>
        </w:rPr>
        <w:t>ith</w:t>
      </w:r>
      <w:proofErr w:type="spellEnd"/>
      <w:r w:rsidRPr="00AC1CC9">
        <w:rPr>
          <w:sz w:val="22"/>
          <w:szCs w:val="22"/>
        </w:rPr>
        <w:t xml:space="preserve"> CDO tranche with credit risk </w:t>
      </w:r>
      <w:proofErr w:type="spellStart"/>
      <w:r w:rsidRPr="00AC1CC9">
        <w:rPr>
          <w:sz w:val="22"/>
          <w:szCs w:val="22"/>
        </w:rPr>
        <w:t>mitigant</w:t>
      </w:r>
      <w:proofErr w:type="spellEnd"/>
      <w:r w:rsidR="002F5476" w:rsidRPr="00AC1CC9">
        <w:rPr>
          <w:sz w:val="22"/>
          <w:szCs w:val="22"/>
        </w:rPr>
        <w:t xml:space="preserve">  </w:t>
      </w:r>
      <w:r w:rsidR="002F5476" w:rsidRPr="00AC1CC9">
        <w:rPr>
          <w:sz w:val="22"/>
          <w:szCs w:val="22"/>
        </w:rPr>
        <w:br/>
      </w:r>
      <w:proofErr w:type="spellStart"/>
      <w:r w:rsidRPr="00AC1CC9">
        <w:rPr>
          <w:sz w:val="22"/>
          <w:szCs w:val="22"/>
        </w:rPr>
        <w:t>y</w:t>
      </w:r>
      <w:r w:rsidRPr="00AC1CC9">
        <w:rPr>
          <w:sz w:val="22"/>
          <w:szCs w:val="22"/>
          <w:vertAlign w:val="subscript"/>
        </w:rPr>
        <w:t>it</w:t>
      </w:r>
      <w:proofErr w:type="spellEnd"/>
      <w:r w:rsidRPr="00AC1CC9">
        <w:rPr>
          <w:sz w:val="22"/>
          <w:szCs w:val="22"/>
        </w:rPr>
        <w:t xml:space="preserve">:   CDO bond yield </w:t>
      </w:r>
      <w:r w:rsidR="004A6547" w:rsidRPr="00AC1CC9">
        <w:rPr>
          <w:sz w:val="22"/>
          <w:szCs w:val="22"/>
        </w:rPr>
        <w:t xml:space="preserve">to maturity </w:t>
      </w:r>
      <w:r w:rsidRPr="00AC1CC9">
        <w:rPr>
          <w:sz w:val="22"/>
          <w:szCs w:val="22"/>
        </w:rPr>
        <w:t xml:space="preserve">on the </w:t>
      </w:r>
      <w:proofErr w:type="spellStart"/>
      <w:r w:rsidRPr="00AC1CC9">
        <w:rPr>
          <w:sz w:val="22"/>
          <w:szCs w:val="22"/>
        </w:rPr>
        <w:t>ith</w:t>
      </w:r>
      <w:proofErr w:type="spellEnd"/>
      <w:r w:rsidRPr="00AC1CC9">
        <w:rPr>
          <w:sz w:val="22"/>
          <w:szCs w:val="22"/>
        </w:rPr>
        <w:t xml:space="preserve"> tranche</w:t>
      </w:r>
      <w:r w:rsidR="007F7DDE" w:rsidRPr="00AC1CC9">
        <w:rPr>
          <w:sz w:val="22"/>
          <w:szCs w:val="22"/>
        </w:rPr>
        <w:t xml:space="preserve"> at time t</w:t>
      </w:r>
      <w:r w:rsidR="002F5476" w:rsidRPr="00AC1CC9">
        <w:rPr>
          <w:sz w:val="22"/>
          <w:szCs w:val="22"/>
        </w:rPr>
        <w:br/>
      </w:r>
      <w:proofErr w:type="spellStart"/>
      <w:r w:rsidRPr="00AC1CC9">
        <w:rPr>
          <w:sz w:val="22"/>
          <w:szCs w:val="22"/>
        </w:rPr>
        <w:t>r</w:t>
      </w:r>
      <w:r w:rsidRPr="00AC1CC9">
        <w:rPr>
          <w:sz w:val="22"/>
          <w:szCs w:val="22"/>
          <w:vertAlign w:val="subscript"/>
        </w:rPr>
        <w:t>t</w:t>
      </w:r>
      <w:proofErr w:type="spellEnd"/>
      <w:r w:rsidRPr="00AC1CC9">
        <w:rPr>
          <w:sz w:val="22"/>
          <w:szCs w:val="22"/>
        </w:rPr>
        <w:t xml:space="preserve">: Risk free </w:t>
      </w:r>
      <w:r w:rsidR="007E71EC" w:rsidRPr="00AC1CC9">
        <w:rPr>
          <w:sz w:val="22"/>
          <w:szCs w:val="22"/>
        </w:rPr>
        <w:t>r</w:t>
      </w:r>
      <w:r w:rsidRPr="00AC1CC9">
        <w:rPr>
          <w:sz w:val="22"/>
          <w:szCs w:val="22"/>
        </w:rPr>
        <w:t>ate</w:t>
      </w:r>
      <w:r w:rsidR="007F7DDE" w:rsidRPr="00AC1CC9">
        <w:rPr>
          <w:sz w:val="22"/>
          <w:szCs w:val="22"/>
        </w:rPr>
        <w:t xml:space="preserve"> at time t</w:t>
      </w:r>
    </w:p>
    <w:p w:rsidR="00AE5464" w:rsidRPr="00451AC0" w:rsidRDefault="00451AC0" w:rsidP="00451AC0">
      <w:pPr>
        <w:pStyle w:val="NormalWeb"/>
        <w:spacing w:line="360" w:lineRule="auto"/>
        <w:jc w:val="both"/>
        <w:rPr>
          <w:sz w:val="22"/>
          <w:szCs w:val="22"/>
        </w:rPr>
      </w:pPr>
      <w:r>
        <w:rPr>
          <w:sz w:val="22"/>
          <w:szCs w:val="22"/>
        </w:rPr>
        <w:t>Capital saved with CDS based CRT from a</w:t>
      </w:r>
      <w:r w:rsidR="00154B0E">
        <w:rPr>
          <w:sz w:val="22"/>
          <w:szCs w:val="22"/>
        </w:rPr>
        <w:t>n</w:t>
      </w:r>
      <w:r>
        <w:rPr>
          <w:sz w:val="22"/>
          <w:szCs w:val="22"/>
        </w:rPr>
        <w:t xml:space="preserve"> AAA guarantor on the senior </w:t>
      </w:r>
      <w:r w:rsidR="008C65E1">
        <w:rPr>
          <w:sz w:val="22"/>
          <w:szCs w:val="22"/>
        </w:rPr>
        <w:t xml:space="preserve">RMBS </w:t>
      </w:r>
      <w:r>
        <w:rPr>
          <w:sz w:val="22"/>
          <w:szCs w:val="22"/>
        </w:rPr>
        <w:t xml:space="preserve">tranche is 240 basis points (which is 400 basis points less 160 basis points) and on the </w:t>
      </w:r>
      <w:r w:rsidR="00767378">
        <w:rPr>
          <w:sz w:val="22"/>
          <w:szCs w:val="22"/>
        </w:rPr>
        <w:t>mezzanine</w:t>
      </w:r>
      <w:r>
        <w:rPr>
          <w:sz w:val="22"/>
          <w:szCs w:val="22"/>
        </w:rPr>
        <w:t xml:space="preserve"> tranche with zero risk weight</w:t>
      </w:r>
      <w:r w:rsidR="00154B0E">
        <w:rPr>
          <w:sz w:val="22"/>
          <w:szCs w:val="22"/>
        </w:rPr>
        <w:t>,</w:t>
      </w:r>
      <w:r>
        <w:rPr>
          <w:sz w:val="22"/>
          <w:szCs w:val="22"/>
        </w:rPr>
        <w:t xml:space="preserve"> all of the 400 basis points is saved.  </w:t>
      </w:r>
      <w:r w:rsidR="00AE5464" w:rsidRPr="00994DC2">
        <w:rPr>
          <w:lang w:eastAsia="en-GB"/>
        </w:rPr>
        <w:t>In a period of zero to negative yields on bonds and high interest rates, the regulatory capital arbitrage via CDS activit</w:t>
      </w:r>
      <w:r w:rsidR="00DB6EB1" w:rsidRPr="00994DC2">
        <w:rPr>
          <w:lang w:eastAsia="en-GB"/>
        </w:rPr>
        <w:t>y may be naturally curtailed</w:t>
      </w:r>
      <w:r w:rsidR="00580DFD">
        <w:rPr>
          <w:lang w:eastAsia="en-GB"/>
        </w:rPr>
        <w:t xml:space="preserve"> as the CDS basis becomes positive</w:t>
      </w:r>
      <w:r w:rsidR="00EE0DCF">
        <w:rPr>
          <w:lang w:eastAsia="en-GB"/>
        </w:rPr>
        <w:t>.  Indeed, equation (1</w:t>
      </w:r>
      <w:r w:rsidR="00DB6EB1" w:rsidRPr="00994DC2">
        <w:rPr>
          <w:lang w:eastAsia="en-GB"/>
        </w:rPr>
        <w:t>) suggests that the regulatory capital saving incentives are</w:t>
      </w:r>
      <w:r w:rsidR="00CA3038" w:rsidRPr="00994DC2">
        <w:rPr>
          <w:lang w:eastAsia="en-GB"/>
        </w:rPr>
        <w:t xml:space="preserve"> </w:t>
      </w:r>
      <w:r w:rsidR="00DB6EB1" w:rsidRPr="00994DC2">
        <w:rPr>
          <w:lang w:eastAsia="en-GB"/>
        </w:rPr>
        <w:t>so strong that</w:t>
      </w:r>
      <w:r w:rsidR="00067E43">
        <w:rPr>
          <w:lang w:eastAsia="en-GB"/>
        </w:rPr>
        <w:t xml:space="preserve"> </w:t>
      </w:r>
      <w:r w:rsidR="00A712B9">
        <w:rPr>
          <w:lang w:eastAsia="en-GB"/>
        </w:rPr>
        <w:t xml:space="preserve">only </w:t>
      </w:r>
      <w:r w:rsidR="00067E43">
        <w:rPr>
          <w:lang w:eastAsia="en-GB"/>
        </w:rPr>
        <w:t xml:space="preserve">in the case of </w:t>
      </w:r>
      <w:r w:rsidR="00DB6EB1" w:rsidRPr="00994DC2">
        <w:rPr>
          <w:lang w:eastAsia="en-GB"/>
        </w:rPr>
        <w:t xml:space="preserve"> </w:t>
      </w:r>
      <w:r w:rsidR="00461848" w:rsidRPr="00994DC2">
        <w:rPr>
          <w:lang w:eastAsia="en-GB"/>
        </w:rPr>
        <w:t>the CDS basis</w:t>
      </w:r>
      <w:r w:rsidR="006A7F07" w:rsidRPr="00994DC2">
        <w:rPr>
          <w:lang w:eastAsia="en-GB"/>
        </w:rPr>
        <w:t xml:space="preserve"> </w:t>
      </w:r>
      <w:r w:rsidR="00DB6EB1" w:rsidRPr="00994DC2">
        <w:rPr>
          <w:lang w:eastAsia="en-GB"/>
        </w:rPr>
        <w:t>exceed</w:t>
      </w:r>
      <w:r w:rsidR="00154B0E">
        <w:rPr>
          <w:lang w:eastAsia="en-GB"/>
        </w:rPr>
        <w:t>ing</w:t>
      </w:r>
      <w:r w:rsidR="00DB6EB1" w:rsidRPr="00994DC2">
        <w:rPr>
          <w:lang w:eastAsia="en-GB"/>
        </w:rPr>
        <w:t xml:space="preserve"> </w:t>
      </w:r>
      <w:r w:rsidR="00067E43">
        <w:rPr>
          <w:lang w:eastAsia="en-GB"/>
        </w:rPr>
        <w:t xml:space="preserve">over </w:t>
      </w:r>
      <w:r w:rsidR="00A712B9">
        <w:rPr>
          <w:lang w:eastAsia="en-GB"/>
        </w:rPr>
        <w:t>400</w:t>
      </w:r>
      <w:r w:rsidR="00461848" w:rsidRPr="00994DC2">
        <w:rPr>
          <w:lang w:eastAsia="en-GB"/>
        </w:rPr>
        <w:t xml:space="preserve"> basis points will </w:t>
      </w:r>
      <w:r w:rsidR="00CA3038" w:rsidRPr="00994DC2">
        <w:rPr>
          <w:lang w:eastAsia="en-GB"/>
        </w:rPr>
        <w:t>this activity</w:t>
      </w:r>
      <w:r w:rsidR="00A712B9">
        <w:rPr>
          <w:lang w:eastAsia="en-GB"/>
        </w:rPr>
        <w:t xml:space="preserve"> be curtailed</w:t>
      </w:r>
      <w:r w:rsidR="00CA3038" w:rsidRPr="00994DC2">
        <w:rPr>
          <w:lang w:eastAsia="en-GB"/>
        </w:rPr>
        <w:t xml:space="preserve">. </w:t>
      </w:r>
      <w:r w:rsidR="00DB6EB1" w:rsidRPr="00994DC2">
        <w:rPr>
          <w:lang w:eastAsia="en-GB"/>
        </w:rPr>
        <w:t xml:space="preserve"> </w:t>
      </w:r>
      <w:r w:rsidR="00AE5464" w:rsidRPr="00994DC2">
        <w:rPr>
          <w:lang w:eastAsia="en-GB"/>
        </w:rPr>
        <w:t xml:space="preserve"> </w:t>
      </w:r>
    </w:p>
    <w:p w:rsidR="008D5254" w:rsidRPr="006F1367" w:rsidRDefault="00AE5464" w:rsidP="00451AC0">
      <w:pPr>
        <w:autoSpaceDE w:val="0"/>
        <w:autoSpaceDN w:val="0"/>
        <w:adjustRightInd w:val="0"/>
        <w:spacing w:after="0" w:line="360" w:lineRule="auto"/>
        <w:jc w:val="both"/>
        <w:rPr>
          <w:rFonts w:ascii="Times New Roman" w:hAnsi="Times New Roman"/>
          <w:b/>
        </w:rPr>
      </w:pPr>
      <w:r w:rsidRPr="006F1367">
        <w:rPr>
          <w:rFonts w:ascii="Times New Roman" w:hAnsi="Times New Roman"/>
          <w:lang w:eastAsia="en-GB"/>
        </w:rPr>
        <w:t xml:space="preserve"> </w:t>
      </w:r>
      <w:r w:rsidR="00CC2E2A" w:rsidRPr="006F1367">
        <w:rPr>
          <w:rFonts w:ascii="Times New Roman" w:hAnsi="Times New Roman"/>
          <w:b/>
        </w:rPr>
        <w:t>3.2</w:t>
      </w:r>
      <w:r w:rsidR="00BA5C9F" w:rsidRPr="006F1367">
        <w:rPr>
          <w:rFonts w:ascii="Times New Roman" w:hAnsi="Times New Roman"/>
          <w:b/>
        </w:rPr>
        <w:t xml:space="preserve"> </w:t>
      </w:r>
      <w:r w:rsidR="008D5254" w:rsidRPr="006F1367">
        <w:rPr>
          <w:rFonts w:ascii="Times New Roman" w:hAnsi="Times New Roman"/>
          <w:b/>
        </w:rPr>
        <w:t>CDS Carry Trade: Mechanism Explained</w:t>
      </w:r>
    </w:p>
    <w:p w:rsidR="00065D10" w:rsidRPr="00580DFD" w:rsidRDefault="00031344" w:rsidP="00451AC0">
      <w:pPr>
        <w:autoSpaceDE w:val="0"/>
        <w:autoSpaceDN w:val="0"/>
        <w:adjustRightInd w:val="0"/>
        <w:spacing w:after="0" w:line="360" w:lineRule="auto"/>
        <w:rPr>
          <w:rFonts w:ascii="Times New Roman" w:hAnsi="Times New Roman"/>
          <w:lang w:eastAsia="en-GB"/>
        </w:rPr>
      </w:pPr>
      <w:r w:rsidRPr="00994DC2">
        <w:rPr>
          <w:rFonts w:ascii="Times New Roman" w:hAnsi="Times New Roman"/>
          <w:lang w:eastAsia="en-GB"/>
        </w:rPr>
        <w:t>The market for a credit derivative and the cash market for the underlying bond of the same maturity need to be aligned to avoid mispricing and arbitrage opportunities.  In principle,</w:t>
      </w:r>
      <w:r w:rsidR="00355D17" w:rsidRPr="00994DC2">
        <w:rPr>
          <w:rFonts w:ascii="Times New Roman" w:hAnsi="Times New Roman"/>
          <w:lang w:eastAsia="en-GB"/>
        </w:rPr>
        <w:t xml:space="preserve"> </w:t>
      </w:r>
      <w:r w:rsidR="00D60D13" w:rsidRPr="00994DC2">
        <w:rPr>
          <w:rFonts w:ascii="Times New Roman" w:hAnsi="Times New Roman"/>
          <w:lang w:eastAsia="en-GB"/>
        </w:rPr>
        <w:t xml:space="preserve">the CDS </w:t>
      </w:r>
      <w:r w:rsidRPr="00994DC2">
        <w:rPr>
          <w:rFonts w:ascii="Times New Roman" w:hAnsi="Times New Roman"/>
          <w:lang w:eastAsia="en-GB"/>
        </w:rPr>
        <w:t xml:space="preserve">spread which reflects the price of credit risk of the bond, as </w:t>
      </w:r>
      <w:r w:rsidR="00D60D13" w:rsidRPr="00994DC2">
        <w:rPr>
          <w:rFonts w:ascii="Times New Roman" w:hAnsi="Times New Roman"/>
          <w:lang w:eastAsia="en-GB"/>
        </w:rPr>
        <w:t>an initial approximation,</w:t>
      </w:r>
      <w:r w:rsidRPr="00994DC2">
        <w:rPr>
          <w:rFonts w:ascii="Times New Roman" w:hAnsi="Times New Roman"/>
          <w:lang w:eastAsia="en-GB"/>
        </w:rPr>
        <w:t xml:space="preserve"> should </w:t>
      </w:r>
      <w:r w:rsidR="00D60D13" w:rsidRPr="00994DC2">
        <w:rPr>
          <w:rFonts w:ascii="Times New Roman" w:hAnsi="Times New Roman"/>
          <w:lang w:eastAsia="en-GB"/>
        </w:rPr>
        <w:t xml:space="preserve">be equal to the bond spread for a </w:t>
      </w:r>
      <w:r w:rsidRPr="00994DC2">
        <w:rPr>
          <w:rFonts w:ascii="Times New Roman" w:hAnsi="Times New Roman"/>
          <w:lang w:eastAsia="en-GB"/>
        </w:rPr>
        <w:t xml:space="preserve">bond with </w:t>
      </w:r>
      <w:r w:rsidR="00D60D13" w:rsidRPr="00994DC2">
        <w:rPr>
          <w:rFonts w:ascii="Times New Roman" w:hAnsi="Times New Roman"/>
          <w:lang w:eastAsia="en-GB"/>
        </w:rPr>
        <w:t>a given maturity (</w:t>
      </w:r>
      <w:proofErr w:type="spellStart"/>
      <w:r w:rsidR="00D60D13" w:rsidRPr="00994DC2">
        <w:rPr>
          <w:rFonts w:ascii="Times New Roman" w:hAnsi="Times New Roman"/>
          <w:lang w:eastAsia="en-GB"/>
        </w:rPr>
        <w:t>Duffie</w:t>
      </w:r>
      <w:proofErr w:type="spellEnd"/>
      <w:r w:rsidR="00D60D13" w:rsidRPr="00994DC2">
        <w:rPr>
          <w:rFonts w:ascii="Times New Roman" w:hAnsi="Times New Roman"/>
          <w:lang w:eastAsia="en-GB"/>
        </w:rPr>
        <w:t xml:space="preserve">, 1999; Hull </w:t>
      </w:r>
      <w:r w:rsidR="009B3CD0">
        <w:rPr>
          <w:rFonts w:ascii="Times New Roman" w:hAnsi="Times New Roman"/>
          <w:i/>
          <w:lang w:eastAsia="en-GB"/>
        </w:rPr>
        <w:t>et. al</w:t>
      </w:r>
      <w:r w:rsidR="00D60D13" w:rsidRPr="00994DC2">
        <w:rPr>
          <w:rFonts w:ascii="Times New Roman" w:hAnsi="Times New Roman"/>
          <w:lang w:eastAsia="en-GB"/>
        </w:rPr>
        <w:t>, 200</w:t>
      </w:r>
      <w:r w:rsidR="009B3CD0">
        <w:rPr>
          <w:rFonts w:ascii="Times New Roman" w:hAnsi="Times New Roman"/>
          <w:lang w:eastAsia="en-GB"/>
        </w:rPr>
        <w:t>4</w:t>
      </w:r>
      <w:r w:rsidR="00D60D13" w:rsidRPr="00994DC2">
        <w:rPr>
          <w:rFonts w:ascii="Times New Roman" w:hAnsi="Times New Roman"/>
          <w:lang w:eastAsia="en-GB"/>
        </w:rPr>
        <w:t>).</w:t>
      </w:r>
      <w:r w:rsidRPr="00994DC2">
        <w:rPr>
          <w:rFonts w:ascii="Times New Roman" w:hAnsi="Times New Roman"/>
          <w:lang w:eastAsia="en-GB"/>
        </w:rPr>
        <w:t xml:space="preserve">  The bond spread defined as the yield to maturity</w:t>
      </w:r>
      <w:r w:rsidR="002853B5" w:rsidRPr="00994DC2">
        <w:rPr>
          <w:rFonts w:ascii="Times New Roman" w:hAnsi="Times New Roman"/>
          <w:lang w:eastAsia="en-GB"/>
        </w:rPr>
        <w:t xml:space="preserve"> minus the risk free rate (</w:t>
      </w:r>
      <w:proofErr w:type="spellStart"/>
      <w:proofErr w:type="gramStart"/>
      <w:r w:rsidR="002853B5" w:rsidRPr="00994DC2">
        <w:rPr>
          <w:rFonts w:ascii="Times New Roman" w:hAnsi="Times New Roman"/>
          <w:lang w:eastAsia="en-GB"/>
        </w:rPr>
        <w:t>y</w:t>
      </w:r>
      <w:r w:rsidR="002853B5" w:rsidRPr="00994DC2">
        <w:rPr>
          <w:rFonts w:ascii="Times New Roman" w:hAnsi="Times New Roman"/>
          <w:vertAlign w:val="subscript"/>
          <w:lang w:eastAsia="en-GB"/>
        </w:rPr>
        <w:t>t</w:t>
      </w:r>
      <w:proofErr w:type="spellEnd"/>
      <w:proofErr w:type="gramEnd"/>
      <w:r w:rsidR="002853B5" w:rsidRPr="00994DC2">
        <w:rPr>
          <w:rFonts w:ascii="Times New Roman" w:hAnsi="Times New Roman"/>
          <w:vertAlign w:val="subscript"/>
          <w:lang w:eastAsia="en-GB"/>
        </w:rPr>
        <w:t xml:space="preserve"> </w:t>
      </w:r>
      <w:r w:rsidR="002853B5" w:rsidRPr="00994DC2">
        <w:rPr>
          <w:rFonts w:ascii="Times New Roman" w:hAnsi="Times New Roman"/>
          <w:lang w:eastAsia="en-GB"/>
        </w:rPr>
        <w:t xml:space="preserve">– </w:t>
      </w:r>
      <w:proofErr w:type="spellStart"/>
      <w:r w:rsidR="002853B5" w:rsidRPr="00994DC2">
        <w:rPr>
          <w:rFonts w:ascii="Times New Roman" w:hAnsi="Times New Roman"/>
          <w:lang w:eastAsia="en-GB"/>
        </w:rPr>
        <w:t>r</w:t>
      </w:r>
      <w:r w:rsidR="002853B5" w:rsidRPr="00994DC2">
        <w:rPr>
          <w:rFonts w:ascii="Times New Roman" w:hAnsi="Times New Roman"/>
          <w:vertAlign w:val="subscript"/>
          <w:lang w:eastAsia="en-GB"/>
        </w:rPr>
        <w:t>t</w:t>
      </w:r>
      <w:proofErr w:type="spellEnd"/>
      <w:r w:rsidR="002853B5" w:rsidRPr="00994DC2">
        <w:rPr>
          <w:rFonts w:ascii="Times New Roman" w:hAnsi="Times New Roman"/>
          <w:lang w:eastAsia="en-GB"/>
        </w:rPr>
        <w:t>)</w:t>
      </w:r>
      <w:r w:rsidRPr="00994DC2">
        <w:rPr>
          <w:rFonts w:ascii="Times New Roman" w:hAnsi="Times New Roman"/>
          <w:lang w:eastAsia="en-GB"/>
        </w:rPr>
        <w:t xml:space="preserve"> includes the price of credit risk of the issuer of the bond</w:t>
      </w:r>
      <w:r w:rsidR="00355D17" w:rsidRPr="00994DC2">
        <w:rPr>
          <w:rFonts w:ascii="Times New Roman" w:hAnsi="Times New Roman"/>
          <w:lang w:eastAsia="en-GB"/>
        </w:rPr>
        <w:t xml:space="preserve"> while the </w:t>
      </w:r>
      <w:r w:rsidR="006069D2" w:rsidRPr="00994DC2">
        <w:rPr>
          <w:rFonts w:ascii="Times New Roman" w:hAnsi="Times New Roman"/>
          <w:lang w:eastAsia="en-GB"/>
        </w:rPr>
        <w:t xml:space="preserve">CDS </w:t>
      </w:r>
      <w:r w:rsidR="00355D17" w:rsidRPr="00994DC2">
        <w:rPr>
          <w:rFonts w:ascii="Times New Roman" w:hAnsi="Times New Roman"/>
          <w:lang w:eastAsia="en-GB"/>
        </w:rPr>
        <w:t xml:space="preserve">spread could </w:t>
      </w:r>
      <w:r w:rsidR="006069D2" w:rsidRPr="00994DC2">
        <w:rPr>
          <w:rFonts w:ascii="Times New Roman" w:hAnsi="Times New Roman"/>
          <w:lang w:eastAsia="en-GB"/>
        </w:rPr>
        <w:t>also include counterparty risk of the CDS protection seller</w:t>
      </w:r>
      <w:r w:rsidR="00E156EF" w:rsidRPr="00994DC2">
        <w:rPr>
          <w:rFonts w:ascii="Times New Roman" w:hAnsi="Times New Roman"/>
          <w:lang w:eastAsia="en-GB"/>
        </w:rPr>
        <w:t>.</w:t>
      </w:r>
      <w:r w:rsidR="006069D2" w:rsidRPr="00994DC2">
        <w:rPr>
          <w:rFonts w:ascii="Times New Roman" w:hAnsi="Times New Roman"/>
          <w:lang w:eastAsia="en-GB"/>
        </w:rPr>
        <w:t xml:space="preserve"> </w:t>
      </w:r>
      <w:r w:rsidR="00355D17" w:rsidRPr="00994DC2">
        <w:rPr>
          <w:rFonts w:ascii="Times New Roman" w:hAnsi="Times New Roman"/>
          <w:lang w:eastAsia="en-GB"/>
        </w:rPr>
        <w:t xml:space="preserve"> T</w:t>
      </w:r>
      <w:r w:rsidR="006069D2" w:rsidRPr="00994DC2">
        <w:rPr>
          <w:rFonts w:ascii="Times New Roman" w:hAnsi="Times New Roman"/>
          <w:lang w:eastAsia="en-GB"/>
        </w:rPr>
        <w:t xml:space="preserve">he so called </w:t>
      </w:r>
      <w:r w:rsidR="002853B5" w:rsidRPr="00994DC2">
        <w:rPr>
          <w:rFonts w:ascii="Times New Roman" w:hAnsi="Times New Roman"/>
          <w:lang w:eastAsia="en-GB"/>
        </w:rPr>
        <w:t xml:space="preserve">CDS </w:t>
      </w:r>
      <w:r w:rsidR="006069D2" w:rsidRPr="00994DC2">
        <w:rPr>
          <w:rFonts w:ascii="Times New Roman" w:hAnsi="Times New Roman"/>
          <w:lang w:eastAsia="en-GB"/>
        </w:rPr>
        <w:t xml:space="preserve">basis </w:t>
      </w:r>
      <w:r w:rsidR="00355D17" w:rsidRPr="00994DC2">
        <w:rPr>
          <w:rFonts w:ascii="Times New Roman" w:hAnsi="Times New Roman"/>
          <w:lang w:eastAsia="en-GB"/>
        </w:rPr>
        <w:t>given on the right hand side of (1</w:t>
      </w:r>
      <w:proofErr w:type="gramStart"/>
      <w:r w:rsidR="00355D17" w:rsidRPr="00994DC2">
        <w:rPr>
          <w:rFonts w:ascii="Times New Roman" w:hAnsi="Times New Roman"/>
          <w:lang w:eastAsia="en-GB"/>
        </w:rPr>
        <w:t>)  is</w:t>
      </w:r>
      <w:proofErr w:type="gramEnd"/>
      <w:r w:rsidR="00355D17" w:rsidRPr="00994DC2">
        <w:rPr>
          <w:rFonts w:ascii="Times New Roman" w:hAnsi="Times New Roman"/>
          <w:lang w:eastAsia="en-GB"/>
        </w:rPr>
        <w:t xml:space="preserve"> the difference between the CDS spread,</w:t>
      </w:r>
      <w:r w:rsidR="00451AC0">
        <w:rPr>
          <w:rFonts w:ascii="Times New Roman" w:hAnsi="Times New Roman"/>
          <w:lang w:eastAsia="en-GB"/>
        </w:rPr>
        <w:t xml:space="preserve"> </w:t>
      </w:r>
      <w:r w:rsidR="00580DFD">
        <w:rPr>
          <w:rFonts w:ascii="Symbol" w:hAnsi="Symbol"/>
          <w:lang w:eastAsia="en-GB"/>
        </w:rPr>
        <w:t></w:t>
      </w:r>
      <w:r w:rsidR="00355D17" w:rsidRPr="00994DC2">
        <w:rPr>
          <w:rFonts w:ascii="Times New Roman" w:hAnsi="Times New Roman"/>
          <w:vertAlign w:val="subscript"/>
          <w:lang w:eastAsia="en-GB"/>
        </w:rPr>
        <w:t>t</w:t>
      </w:r>
      <w:r w:rsidR="00355D17" w:rsidRPr="00994DC2">
        <w:rPr>
          <w:rFonts w:ascii="Times New Roman" w:hAnsi="Times New Roman"/>
          <w:lang w:eastAsia="en-GB"/>
        </w:rPr>
        <w:t> and the bond spread (</w:t>
      </w:r>
      <w:proofErr w:type="spellStart"/>
      <w:r w:rsidR="00355D17" w:rsidRPr="00994DC2">
        <w:rPr>
          <w:rFonts w:ascii="Times New Roman" w:hAnsi="Times New Roman"/>
          <w:lang w:eastAsia="en-GB"/>
        </w:rPr>
        <w:t>y</w:t>
      </w:r>
      <w:r w:rsidR="00355D17" w:rsidRPr="00994DC2">
        <w:rPr>
          <w:rFonts w:ascii="Times New Roman" w:hAnsi="Times New Roman"/>
          <w:vertAlign w:val="subscript"/>
          <w:lang w:eastAsia="en-GB"/>
        </w:rPr>
        <w:t>t</w:t>
      </w:r>
      <w:proofErr w:type="spellEnd"/>
      <w:r w:rsidR="00B90526">
        <w:rPr>
          <w:rFonts w:ascii="Times New Roman" w:hAnsi="Times New Roman"/>
          <w:vertAlign w:val="subscript"/>
          <w:lang w:eastAsia="en-GB"/>
        </w:rPr>
        <w:t xml:space="preserve"> </w:t>
      </w:r>
      <w:r w:rsidR="00355D17" w:rsidRPr="00994DC2">
        <w:rPr>
          <w:rFonts w:ascii="Times New Roman" w:hAnsi="Times New Roman"/>
          <w:lang w:eastAsia="en-GB"/>
        </w:rPr>
        <w:t>–</w:t>
      </w:r>
      <w:r w:rsidR="00B90526">
        <w:rPr>
          <w:rFonts w:ascii="Times New Roman" w:hAnsi="Times New Roman"/>
          <w:lang w:eastAsia="en-GB"/>
        </w:rPr>
        <w:t xml:space="preserve"> </w:t>
      </w:r>
      <w:proofErr w:type="spellStart"/>
      <w:r w:rsidR="00355D17" w:rsidRPr="00994DC2">
        <w:rPr>
          <w:rFonts w:ascii="Times New Roman" w:hAnsi="Times New Roman"/>
          <w:lang w:eastAsia="en-GB"/>
        </w:rPr>
        <w:t>r</w:t>
      </w:r>
      <w:r w:rsidR="00355D17" w:rsidRPr="00994DC2">
        <w:rPr>
          <w:rFonts w:ascii="Times New Roman" w:hAnsi="Times New Roman"/>
          <w:vertAlign w:val="subscript"/>
          <w:lang w:eastAsia="en-GB"/>
        </w:rPr>
        <w:t>t</w:t>
      </w:r>
      <w:proofErr w:type="spellEnd"/>
      <w:r w:rsidR="00355D17" w:rsidRPr="00994DC2">
        <w:rPr>
          <w:rFonts w:ascii="Times New Roman" w:hAnsi="Times New Roman"/>
          <w:lang w:eastAsia="en-GB"/>
        </w:rPr>
        <w:t>)</w:t>
      </w:r>
      <w:r w:rsidR="00CA3038" w:rsidRPr="00994DC2">
        <w:rPr>
          <w:rFonts w:ascii="Times New Roman" w:hAnsi="Times New Roman"/>
          <w:lang w:eastAsia="en-GB"/>
        </w:rPr>
        <w:t xml:space="preserve">.  </w:t>
      </w:r>
      <w:proofErr w:type="gramStart"/>
      <w:r w:rsidR="00CA3038" w:rsidRPr="00994DC2">
        <w:rPr>
          <w:rFonts w:ascii="Times New Roman" w:hAnsi="Times New Roman"/>
          <w:lang w:eastAsia="en-GB"/>
        </w:rPr>
        <w:t>Under conditions of negative basis</w:t>
      </w:r>
      <w:r w:rsidR="00451AC0">
        <w:rPr>
          <w:rFonts w:ascii="Times New Roman" w:hAnsi="Times New Roman"/>
          <w:lang w:eastAsia="en-GB"/>
        </w:rPr>
        <w:t>, viz.</w:t>
      </w:r>
      <w:proofErr w:type="gramEnd"/>
      <w:r w:rsidR="00451AC0">
        <w:rPr>
          <w:rFonts w:ascii="Times New Roman" w:hAnsi="Times New Roman"/>
          <w:lang w:eastAsia="en-GB"/>
        </w:rPr>
        <w:t xml:space="preserve"> </w:t>
      </w:r>
      <w:r w:rsidR="00580DFD" w:rsidRPr="00580DFD">
        <w:rPr>
          <w:rFonts w:ascii="Times New Roman" w:hAnsi="Times New Roman"/>
          <w:i/>
          <w:iCs/>
          <w:lang w:eastAsia="en-GB"/>
        </w:rPr>
        <w:t xml:space="preserve">  </w:t>
      </w:r>
      <w:proofErr w:type="spellStart"/>
      <w:proofErr w:type="gramStart"/>
      <w:r w:rsidR="00BD55D7" w:rsidRPr="00C86C75">
        <w:rPr>
          <w:rFonts w:ascii="Times New Roman" w:hAnsi="Times New Roman"/>
        </w:rPr>
        <w:t>y</w:t>
      </w:r>
      <w:r w:rsidR="00580DFD">
        <w:rPr>
          <w:rFonts w:ascii="Times New Roman" w:hAnsi="Times New Roman"/>
          <w:i/>
          <w:iCs/>
          <w:vertAlign w:val="subscript"/>
          <w:lang w:eastAsia="en-GB"/>
        </w:rPr>
        <w:t>t</w:t>
      </w:r>
      <w:proofErr w:type="spellEnd"/>
      <w:r w:rsidR="00580DFD">
        <w:rPr>
          <w:rFonts w:ascii="Times New Roman" w:hAnsi="Times New Roman"/>
          <w:i/>
          <w:iCs/>
          <w:lang w:eastAsia="en-GB"/>
        </w:rPr>
        <w:t xml:space="preserve"> </w:t>
      </w:r>
      <w:r w:rsidR="00580DFD" w:rsidRPr="00580DFD">
        <w:rPr>
          <w:rFonts w:ascii="Times New Roman" w:hAnsi="Times New Roman"/>
          <w:i/>
          <w:iCs/>
          <w:lang w:eastAsia="en-GB"/>
        </w:rPr>
        <w:t xml:space="preserve"> </w:t>
      </w:r>
      <w:r w:rsidR="00580DFD" w:rsidRPr="00580DFD">
        <w:rPr>
          <w:rFonts w:ascii="Times New Roman" w:eastAsia="SymbolMT" w:hAnsi="Times New Roman"/>
          <w:lang w:eastAsia="en-GB"/>
        </w:rPr>
        <w:t>−</w:t>
      </w:r>
      <w:proofErr w:type="gramEnd"/>
      <w:r w:rsidR="00580DFD" w:rsidRPr="00580DFD">
        <w:rPr>
          <w:rFonts w:ascii="Times New Roman" w:eastAsia="SymbolMT" w:hAnsi="Times New Roman"/>
          <w:lang w:eastAsia="en-GB"/>
        </w:rPr>
        <w:t xml:space="preserve"> </w:t>
      </w:r>
      <w:proofErr w:type="spellStart"/>
      <w:r w:rsidR="00BD55D7" w:rsidRPr="00C86C75">
        <w:rPr>
          <w:rFonts w:ascii="Times New Roman" w:hAnsi="Times New Roman"/>
        </w:rPr>
        <w:t>λ</w:t>
      </w:r>
      <w:r w:rsidR="00BD55D7" w:rsidRPr="00C86C75">
        <w:rPr>
          <w:rFonts w:ascii="Times New Roman" w:hAnsi="Times New Roman"/>
          <w:vertAlign w:val="subscript"/>
        </w:rPr>
        <w:t>t</w:t>
      </w:r>
      <w:proofErr w:type="spellEnd"/>
      <w:r w:rsidR="00BD55D7">
        <w:rPr>
          <w:rFonts w:ascii="Symbol" w:eastAsia="SymbolMT" w:hAnsi="Symbol"/>
          <w:lang w:eastAsia="en-GB"/>
        </w:rPr>
        <w:t></w:t>
      </w:r>
      <w:r w:rsidR="00580DFD">
        <w:rPr>
          <w:rFonts w:ascii="Symbol" w:eastAsia="SymbolMT" w:hAnsi="Symbol"/>
          <w:lang w:eastAsia="en-GB"/>
        </w:rPr>
        <w:t></w:t>
      </w:r>
      <w:r w:rsidR="00580DFD" w:rsidRPr="00580DFD">
        <w:rPr>
          <w:rFonts w:ascii="Times New Roman" w:hAnsi="Times New Roman"/>
          <w:i/>
          <w:iCs/>
          <w:lang w:eastAsia="en-GB"/>
        </w:rPr>
        <w:t xml:space="preserve"> </w:t>
      </w:r>
      <w:r w:rsidR="00580DFD" w:rsidRPr="00580DFD">
        <w:rPr>
          <w:rFonts w:ascii="Times New Roman" w:eastAsia="SymbolMT" w:hAnsi="Times New Roman"/>
          <w:lang w:eastAsia="en-GB"/>
        </w:rPr>
        <w:t xml:space="preserve">&gt; </w:t>
      </w:r>
      <w:proofErr w:type="spellStart"/>
      <w:r w:rsidR="00BD55D7" w:rsidRPr="00C86C75">
        <w:rPr>
          <w:rFonts w:ascii="Times New Roman" w:hAnsi="Times New Roman"/>
        </w:rPr>
        <w:t>r</w:t>
      </w:r>
      <w:r w:rsidR="00BD55D7" w:rsidRPr="00C86C75">
        <w:rPr>
          <w:rFonts w:ascii="Times New Roman" w:hAnsi="Times New Roman"/>
          <w:vertAlign w:val="subscript"/>
        </w:rPr>
        <w:t>t</w:t>
      </w:r>
      <w:proofErr w:type="spellEnd"/>
      <w:r w:rsidR="00BD55D7" w:rsidRPr="005E3FF7">
        <w:t xml:space="preserve"> </w:t>
      </w:r>
      <w:r w:rsidR="00BD55D7" w:rsidRPr="005E3FF7">
        <w:rPr>
          <w:vertAlign w:val="superscript"/>
        </w:rPr>
        <w:t xml:space="preserve"> </w:t>
      </w:r>
      <w:r w:rsidR="00B90526">
        <w:t>,</w:t>
      </w:r>
      <w:r w:rsidR="00BD55D7" w:rsidRPr="005E3FF7">
        <w:rPr>
          <w:vertAlign w:val="superscript"/>
        </w:rPr>
        <w:t xml:space="preserve">                    </w:t>
      </w:r>
    </w:p>
    <w:p w:rsidR="00B90526" w:rsidRPr="00580DFD" w:rsidRDefault="00E63546" w:rsidP="00B90526">
      <w:pPr>
        <w:autoSpaceDE w:val="0"/>
        <w:autoSpaceDN w:val="0"/>
        <w:adjustRightInd w:val="0"/>
        <w:spacing w:after="0" w:line="360" w:lineRule="auto"/>
        <w:jc w:val="both"/>
        <w:rPr>
          <w:rFonts w:ascii="Times New Roman" w:hAnsi="Times New Roman"/>
          <w:lang w:eastAsia="en-GB"/>
        </w:rPr>
      </w:pPr>
      <w:proofErr w:type="gramStart"/>
      <w:r>
        <w:rPr>
          <w:rFonts w:ascii="Times New Roman" w:hAnsi="Times New Roman"/>
          <w:lang w:eastAsia="en-GB"/>
        </w:rPr>
        <w:t>an</w:t>
      </w:r>
      <w:proofErr w:type="gramEnd"/>
      <w:r w:rsidR="007D7B08" w:rsidRPr="00994DC2">
        <w:rPr>
          <w:rFonts w:ascii="Times New Roman" w:hAnsi="Times New Roman"/>
          <w:lang w:eastAsia="en-GB"/>
        </w:rPr>
        <w:t xml:space="preserve"> investor </w:t>
      </w:r>
      <w:r w:rsidR="002B4110" w:rsidRPr="00994DC2">
        <w:rPr>
          <w:rFonts w:ascii="Times New Roman" w:hAnsi="Times New Roman"/>
          <w:lang w:eastAsia="en-GB"/>
        </w:rPr>
        <w:t xml:space="preserve">in a self-financing strategy </w:t>
      </w:r>
      <w:r w:rsidR="007D7B08" w:rsidRPr="00994DC2">
        <w:rPr>
          <w:rFonts w:ascii="Times New Roman" w:hAnsi="Times New Roman"/>
          <w:lang w:eastAsia="en-GB"/>
        </w:rPr>
        <w:t>buy</w:t>
      </w:r>
      <w:r w:rsidR="002B4110" w:rsidRPr="00994DC2">
        <w:rPr>
          <w:rFonts w:ascii="Times New Roman" w:hAnsi="Times New Roman"/>
          <w:lang w:eastAsia="en-GB"/>
        </w:rPr>
        <w:t>s</w:t>
      </w:r>
      <w:r w:rsidR="007D7B08" w:rsidRPr="00994DC2">
        <w:rPr>
          <w:rFonts w:ascii="Times New Roman" w:hAnsi="Times New Roman"/>
          <w:lang w:eastAsia="en-GB"/>
        </w:rPr>
        <w:t xml:space="preserve"> the bond and the CDS </w:t>
      </w:r>
      <w:r w:rsidR="005033D4" w:rsidRPr="00994DC2">
        <w:rPr>
          <w:rFonts w:ascii="Times New Roman" w:hAnsi="Times New Roman"/>
          <w:lang w:eastAsia="en-GB"/>
        </w:rPr>
        <w:t xml:space="preserve">cover on it </w:t>
      </w:r>
      <w:r w:rsidR="007D7B08" w:rsidRPr="00994DC2">
        <w:rPr>
          <w:rFonts w:ascii="Times New Roman" w:hAnsi="Times New Roman"/>
          <w:lang w:eastAsia="en-GB"/>
        </w:rPr>
        <w:t>by borrowing at a risk-free rate.</w:t>
      </w:r>
      <w:r w:rsidR="007D7B08" w:rsidRPr="00994DC2">
        <w:rPr>
          <w:rFonts w:ascii="Times New Roman" w:hAnsi="Times New Roman"/>
          <w:b/>
          <w:lang w:eastAsia="en-GB"/>
        </w:rPr>
        <w:t xml:space="preserve">  </w:t>
      </w:r>
      <w:r w:rsidR="007D7B08" w:rsidRPr="00994DC2">
        <w:rPr>
          <w:rFonts w:ascii="Times New Roman" w:hAnsi="Times New Roman"/>
          <w:lang w:eastAsia="en-GB"/>
        </w:rPr>
        <w:t>In so doing he locks in the carry tr</w:t>
      </w:r>
      <w:r w:rsidR="002B4110" w:rsidRPr="00994DC2">
        <w:rPr>
          <w:rFonts w:ascii="Times New Roman" w:hAnsi="Times New Roman"/>
          <w:lang w:eastAsia="en-GB"/>
        </w:rPr>
        <w:t>ade profit</w:t>
      </w:r>
      <w:r w:rsidR="002B4110" w:rsidRPr="00994DC2">
        <w:rPr>
          <w:rFonts w:ascii="Times New Roman" w:hAnsi="Times New Roman"/>
          <w:b/>
          <w:lang w:eastAsia="en-GB"/>
        </w:rPr>
        <w:t xml:space="preserve"> </w:t>
      </w:r>
      <w:r w:rsidR="002B4110" w:rsidRPr="00994DC2">
        <w:rPr>
          <w:rFonts w:ascii="Times New Roman" w:hAnsi="Times New Roman"/>
          <w:lang w:eastAsia="en-GB"/>
        </w:rPr>
        <w:t xml:space="preserve">equal to </w:t>
      </w:r>
      <w:r w:rsidR="001E2C56" w:rsidRPr="005E3FF7">
        <w:t>(</w:t>
      </w:r>
      <w:r w:rsidR="001E2C56">
        <w:t>(</w:t>
      </w:r>
      <w:proofErr w:type="spellStart"/>
      <w:proofErr w:type="gramStart"/>
      <w:r w:rsidR="001E2C56" w:rsidRPr="005E3FF7">
        <w:t>y</w:t>
      </w:r>
      <w:r w:rsidR="001E2C56" w:rsidRPr="005E3FF7">
        <w:rPr>
          <w:vertAlign w:val="subscript"/>
        </w:rPr>
        <w:t>t</w:t>
      </w:r>
      <w:proofErr w:type="spellEnd"/>
      <w:proofErr w:type="gramEnd"/>
      <w:r w:rsidR="001E2C56" w:rsidRPr="005E3FF7">
        <w:rPr>
          <w:vertAlign w:val="subscript"/>
        </w:rPr>
        <w:t xml:space="preserve"> </w:t>
      </w:r>
      <w:r w:rsidR="001E2C56" w:rsidRPr="005E3FF7">
        <w:t xml:space="preserve">- </w:t>
      </w:r>
      <w:proofErr w:type="spellStart"/>
      <w:r w:rsidR="001E2C56" w:rsidRPr="005E3FF7">
        <w:t>r</w:t>
      </w:r>
      <w:r w:rsidR="001E2C56" w:rsidRPr="005E3FF7">
        <w:rPr>
          <w:vertAlign w:val="subscript"/>
        </w:rPr>
        <w:t>t</w:t>
      </w:r>
      <w:proofErr w:type="spellEnd"/>
      <w:r w:rsidR="001E2C56" w:rsidRPr="005E3FF7">
        <w:t>)</w:t>
      </w:r>
      <w:r w:rsidR="001E2C56">
        <w:t xml:space="preserve"> -</w:t>
      </w:r>
      <w:r w:rsidR="001E2C56" w:rsidRPr="001E2C56">
        <w:rPr>
          <w:rFonts w:ascii="Times New Roman" w:hAnsi="Times New Roman"/>
        </w:rPr>
        <w:t xml:space="preserve"> </w:t>
      </w:r>
      <w:proofErr w:type="spellStart"/>
      <w:r w:rsidR="001E2C56" w:rsidRPr="00C86C75">
        <w:rPr>
          <w:rFonts w:ascii="Times New Roman" w:hAnsi="Times New Roman"/>
        </w:rPr>
        <w:t>λ</w:t>
      </w:r>
      <w:r w:rsidR="001E2C56" w:rsidRPr="00C86C75">
        <w:rPr>
          <w:rFonts w:ascii="Times New Roman" w:hAnsi="Times New Roman"/>
          <w:vertAlign w:val="subscript"/>
        </w:rPr>
        <w:t>t</w:t>
      </w:r>
      <w:proofErr w:type="spellEnd"/>
      <w:r w:rsidR="001E2C56">
        <w:t>)</w:t>
      </w:r>
      <w:r w:rsidR="002B4110" w:rsidRPr="00994DC2">
        <w:rPr>
          <w:rFonts w:ascii="Times New Roman" w:hAnsi="Times New Roman"/>
          <w:i/>
          <w:iCs/>
          <w:lang w:eastAsia="en-GB"/>
        </w:rPr>
        <w:t xml:space="preserve">.  </w:t>
      </w:r>
      <w:r w:rsidR="002B4110" w:rsidRPr="00994DC2">
        <w:rPr>
          <w:rFonts w:ascii="Times New Roman" w:hAnsi="Times New Roman"/>
          <w:lang w:eastAsia="en-GB"/>
        </w:rPr>
        <w:t xml:space="preserve"> </w:t>
      </w:r>
      <w:r w:rsidR="007D7B08" w:rsidRPr="00994DC2">
        <w:rPr>
          <w:rFonts w:ascii="Times New Roman" w:hAnsi="Times New Roman"/>
          <w:lang w:eastAsia="en-GB"/>
        </w:rPr>
        <w:t xml:space="preserve">If this strategy is </w:t>
      </w:r>
      <w:r w:rsidR="007237E5">
        <w:rPr>
          <w:rFonts w:ascii="Times New Roman" w:hAnsi="Times New Roman"/>
          <w:lang w:eastAsia="en-GB"/>
        </w:rPr>
        <w:t>wide</w:t>
      </w:r>
      <w:r w:rsidR="007D7B08" w:rsidRPr="00994DC2">
        <w:rPr>
          <w:rFonts w:ascii="Times New Roman" w:hAnsi="Times New Roman"/>
          <w:lang w:eastAsia="en-GB"/>
        </w:rPr>
        <w:t xml:space="preserve">ly adopted, the bond price increases, leading to a fall in its yield and an increase in the price of </w:t>
      </w:r>
      <w:r w:rsidR="00354933" w:rsidRPr="00994DC2">
        <w:rPr>
          <w:rFonts w:ascii="Times New Roman" w:hAnsi="Times New Roman"/>
          <w:lang w:eastAsia="en-GB"/>
        </w:rPr>
        <w:t xml:space="preserve">CDS </w:t>
      </w:r>
      <w:r w:rsidR="007D7B08" w:rsidRPr="00994DC2">
        <w:rPr>
          <w:rFonts w:ascii="Times New Roman" w:hAnsi="Times New Roman"/>
          <w:lang w:eastAsia="en-GB"/>
        </w:rPr>
        <w:t>protection, which ultimately cancels out the observed divergence. Conversely,</w:t>
      </w:r>
      <w:r w:rsidR="007E71EC">
        <w:rPr>
          <w:rFonts w:ascii="Times New Roman" w:hAnsi="Times New Roman"/>
          <w:lang w:eastAsia="en-GB"/>
        </w:rPr>
        <w:t xml:space="preserve"> </w:t>
      </w:r>
      <w:proofErr w:type="gramStart"/>
      <w:r w:rsidR="007E71EC">
        <w:rPr>
          <w:rFonts w:ascii="Times New Roman" w:hAnsi="Times New Roman"/>
          <w:lang w:eastAsia="en-GB"/>
        </w:rPr>
        <w:t xml:space="preserve">if </w:t>
      </w:r>
      <w:r w:rsidR="007D7B08" w:rsidRPr="00994DC2">
        <w:rPr>
          <w:rFonts w:ascii="Times New Roman" w:hAnsi="Times New Roman"/>
          <w:lang w:eastAsia="en-GB"/>
        </w:rPr>
        <w:t xml:space="preserve"> </w:t>
      </w:r>
      <w:proofErr w:type="spellStart"/>
      <w:r w:rsidR="00B90526" w:rsidRPr="00C86C75">
        <w:rPr>
          <w:rFonts w:ascii="Times New Roman" w:hAnsi="Times New Roman"/>
        </w:rPr>
        <w:t>y</w:t>
      </w:r>
      <w:r w:rsidR="00B90526">
        <w:rPr>
          <w:rFonts w:ascii="Times New Roman" w:hAnsi="Times New Roman"/>
          <w:i/>
          <w:iCs/>
          <w:vertAlign w:val="subscript"/>
          <w:lang w:eastAsia="en-GB"/>
        </w:rPr>
        <w:t>t</w:t>
      </w:r>
      <w:proofErr w:type="spellEnd"/>
      <w:proofErr w:type="gramEnd"/>
      <w:r w:rsidR="00B90526">
        <w:rPr>
          <w:rFonts w:ascii="Times New Roman" w:hAnsi="Times New Roman"/>
          <w:i/>
          <w:iCs/>
          <w:lang w:eastAsia="en-GB"/>
        </w:rPr>
        <w:t xml:space="preserve"> </w:t>
      </w:r>
      <w:r w:rsidR="00B90526" w:rsidRPr="00580DFD">
        <w:rPr>
          <w:rFonts w:ascii="Times New Roman" w:hAnsi="Times New Roman"/>
          <w:i/>
          <w:iCs/>
          <w:lang w:eastAsia="en-GB"/>
        </w:rPr>
        <w:t xml:space="preserve"> </w:t>
      </w:r>
      <w:r w:rsidR="00B90526" w:rsidRPr="00580DFD">
        <w:rPr>
          <w:rFonts w:ascii="Times New Roman" w:eastAsia="SymbolMT" w:hAnsi="Times New Roman"/>
          <w:lang w:eastAsia="en-GB"/>
        </w:rPr>
        <w:t xml:space="preserve">− </w:t>
      </w:r>
      <w:proofErr w:type="spellStart"/>
      <w:r w:rsidR="00B90526" w:rsidRPr="00C86C75">
        <w:rPr>
          <w:rFonts w:ascii="Times New Roman" w:hAnsi="Times New Roman"/>
        </w:rPr>
        <w:t>λ</w:t>
      </w:r>
      <w:r w:rsidR="00B90526" w:rsidRPr="00C86C75">
        <w:rPr>
          <w:rFonts w:ascii="Times New Roman" w:hAnsi="Times New Roman"/>
          <w:vertAlign w:val="subscript"/>
        </w:rPr>
        <w:t>t</w:t>
      </w:r>
      <w:proofErr w:type="spellEnd"/>
      <w:r w:rsidR="00B90526">
        <w:rPr>
          <w:rFonts w:ascii="Symbol" w:eastAsia="SymbolMT" w:hAnsi="Symbol"/>
          <w:lang w:eastAsia="en-GB"/>
        </w:rPr>
        <w:t></w:t>
      </w:r>
      <w:r w:rsidR="00B90526">
        <w:rPr>
          <w:rFonts w:ascii="Symbol" w:eastAsia="SymbolMT" w:hAnsi="Symbol"/>
          <w:lang w:eastAsia="en-GB"/>
        </w:rPr>
        <w:t></w:t>
      </w:r>
      <w:r w:rsidR="00B90526" w:rsidRPr="00580DFD">
        <w:rPr>
          <w:rFonts w:ascii="Times New Roman" w:hAnsi="Times New Roman"/>
          <w:i/>
          <w:iCs/>
          <w:lang w:eastAsia="en-GB"/>
        </w:rPr>
        <w:t xml:space="preserve"> </w:t>
      </w:r>
      <w:r w:rsidR="00B90526">
        <w:rPr>
          <w:rFonts w:ascii="Times New Roman" w:hAnsi="Times New Roman"/>
          <w:i/>
          <w:iCs/>
          <w:lang w:eastAsia="en-GB"/>
        </w:rPr>
        <w:t xml:space="preserve">&lt; </w:t>
      </w:r>
      <w:r w:rsidR="00B90526" w:rsidRPr="00580DFD">
        <w:rPr>
          <w:rFonts w:ascii="Times New Roman" w:eastAsia="SymbolMT" w:hAnsi="Times New Roman"/>
          <w:lang w:eastAsia="en-GB"/>
        </w:rPr>
        <w:t xml:space="preserve"> </w:t>
      </w:r>
      <w:proofErr w:type="spellStart"/>
      <w:r w:rsidR="00B90526" w:rsidRPr="00C86C75">
        <w:rPr>
          <w:rFonts w:ascii="Times New Roman" w:hAnsi="Times New Roman"/>
        </w:rPr>
        <w:t>r</w:t>
      </w:r>
      <w:r w:rsidR="00B90526" w:rsidRPr="00C86C75">
        <w:rPr>
          <w:rFonts w:ascii="Times New Roman" w:hAnsi="Times New Roman"/>
          <w:vertAlign w:val="subscript"/>
        </w:rPr>
        <w:t>t</w:t>
      </w:r>
      <w:proofErr w:type="spellEnd"/>
      <w:r w:rsidR="00B90526" w:rsidRPr="005E3FF7">
        <w:rPr>
          <w:vertAlign w:val="superscript"/>
        </w:rPr>
        <w:t xml:space="preserve">  </w:t>
      </w:r>
      <w:r w:rsidR="00B90526">
        <w:t>,</w:t>
      </w:r>
      <w:r w:rsidR="00B90526" w:rsidRPr="005E3FF7">
        <w:rPr>
          <w:vertAlign w:val="superscript"/>
        </w:rPr>
        <w:t xml:space="preserve">                             </w:t>
      </w:r>
    </w:p>
    <w:p w:rsidR="007D7B08" w:rsidRPr="00994DC2" w:rsidRDefault="007D7B08" w:rsidP="00994DC2">
      <w:pPr>
        <w:autoSpaceDE w:val="0"/>
        <w:autoSpaceDN w:val="0"/>
        <w:adjustRightInd w:val="0"/>
        <w:spacing w:after="0" w:line="360" w:lineRule="auto"/>
        <w:jc w:val="both"/>
        <w:rPr>
          <w:rFonts w:ascii="Times New Roman" w:hAnsi="Times New Roman"/>
          <w:lang w:eastAsia="en-GB"/>
        </w:rPr>
      </w:pPr>
      <w:proofErr w:type="gramStart"/>
      <w:r w:rsidRPr="00994DC2">
        <w:rPr>
          <w:rFonts w:ascii="Times New Roman" w:hAnsi="Times New Roman"/>
          <w:lang w:eastAsia="en-GB"/>
        </w:rPr>
        <w:lastRenderedPageBreak/>
        <w:t>the</w:t>
      </w:r>
      <w:proofErr w:type="gramEnd"/>
      <w:r w:rsidRPr="00994DC2">
        <w:rPr>
          <w:rFonts w:ascii="Times New Roman" w:hAnsi="Times New Roman"/>
          <w:lang w:eastAsia="en-GB"/>
        </w:rPr>
        <w:t xml:space="preserve"> investor should sell the bond (if possible), sell the CDS and invest at a risk-free rate, which ultimately restores equilibrium.</w:t>
      </w:r>
      <w:r w:rsidR="001E2C56">
        <w:rPr>
          <w:rStyle w:val="FootnoteReference"/>
          <w:rFonts w:ascii="Times New Roman" w:hAnsi="Times New Roman"/>
          <w:lang w:eastAsia="en-GB"/>
        </w:rPr>
        <w:footnoteReference w:id="15"/>
      </w:r>
      <w:r w:rsidR="00B90526">
        <w:rPr>
          <w:rFonts w:ascii="Times New Roman" w:hAnsi="Times New Roman"/>
          <w:lang w:eastAsia="en-GB"/>
        </w:rPr>
        <w:t xml:space="preserve">   </w:t>
      </w:r>
    </w:p>
    <w:p w:rsidR="00354933" w:rsidRPr="00994DC2" w:rsidRDefault="00065D10" w:rsidP="00994DC2">
      <w:pPr>
        <w:autoSpaceDE w:val="0"/>
        <w:autoSpaceDN w:val="0"/>
        <w:adjustRightInd w:val="0"/>
        <w:spacing w:after="0" w:line="360" w:lineRule="auto"/>
        <w:jc w:val="both"/>
        <w:rPr>
          <w:rFonts w:ascii="Times New Roman" w:hAnsi="Times New Roman"/>
          <w:lang w:eastAsia="en-GB"/>
        </w:rPr>
      </w:pPr>
      <w:r w:rsidRPr="00994DC2">
        <w:rPr>
          <w:rFonts w:ascii="Times New Roman" w:hAnsi="Times New Roman"/>
          <w:lang w:eastAsia="en-GB"/>
        </w:rPr>
        <w:t xml:space="preserve"> </w:t>
      </w:r>
    </w:p>
    <w:p w:rsidR="00355D17" w:rsidRPr="00994DC2" w:rsidRDefault="00355D17" w:rsidP="00503E75">
      <w:pPr>
        <w:autoSpaceDE w:val="0"/>
        <w:autoSpaceDN w:val="0"/>
        <w:adjustRightInd w:val="0"/>
        <w:spacing w:after="0" w:line="360" w:lineRule="auto"/>
        <w:jc w:val="both"/>
        <w:rPr>
          <w:rFonts w:ascii="Times New Roman" w:hAnsi="Times New Roman"/>
          <w:lang w:eastAsia="en-GB"/>
        </w:rPr>
      </w:pPr>
      <w:r w:rsidRPr="00994DC2">
        <w:rPr>
          <w:rFonts w:ascii="Times New Roman" w:hAnsi="Times New Roman"/>
          <w:lang w:eastAsia="en-GB"/>
        </w:rPr>
        <w:t xml:space="preserve">It is clear from (1) above that under conditions of a negative </w:t>
      </w:r>
      <w:r w:rsidR="00354933" w:rsidRPr="00994DC2">
        <w:rPr>
          <w:rFonts w:ascii="Times New Roman" w:hAnsi="Times New Roman"/>
          <w:lang w:eastAsia="en-GB"/>
        </w:rPr>
        <w:t xml:space="preserve">CDS </w:t>
      </w:r>
      <w:r w:rsidRPr="00994DC2">
        <w:rPr>
          <w:rFonts w:ascii="Times New Roman" w:hAnsi="Times New Roman"/>
          <w:lang w:eastAsia="en-GB"/>
        </w:rPr>
        <w:t>basis</w:t>
      </w:r>
      <w:r w:rsidR="00024D72">
        <w:rPr>
          <w:rFonts w:ascii="Times New Roman" w:hAnsi="Times New Roman"/>
          <w:lang w:eastAsia="en-GB"/>
        </w:rPr>
        <w:t>,</w:t>
      </w:r>
      <w:r w:rsidRPr="00994DC2">
        <w:rPr>
          <w:rFonts w:ascii="Times New Roman" w:hAnsi="Times New Roman"/>
          <w:lang w:eastAsia="en-GB"/>
        </w:rPr>
        <w:t xml:space="preserve"> ba</w:t>
      </w:r>
      <w:r w:rsidR="007D7B08" w:rsidRPr="00994DC2">
        <w:rPr>
          <w:rFonts w:ascii="Times New Roman" w:hAnsi="Times New Roman"/>
          <w:lang w:eastAsia="en-GB"/>
        </w:rPr>
        <w:t>n</w:t>
      </w:r>
      <w:r w:rsidRPr="00994DC2">
        <w:rPr>
          <w:rFonts w:ascii="Times New Roman" w:hAnsi="Times New Roman"/>
          <w:lang w:eastAsia="en-GB"/>
        </w:rPr>
        <w:t>k</w:t>
      </w:r>
      <w:r w:rsidR="007D7B08" w:rsidRPr="00994DC2">
        <w:rPr>
          <w:rFonts w:ascii="Times New Roman" w:hAnsi="Times New Roman"/>
          <w:lang w:eastAsia="en-GB"/>
        </w:rPr>
        <w:t xml:space="preserve">s </w:t>
      </w:r>
      <w:r w:rsidRPr="00994DC2">
        <w:rPr>
          <w:rFonts w:ascii="Times New Roman" w:hAnsi="Times New Roman"/>
          <w:lang w:eastAsia="en-GB"/>
        </w:rPr>
        <w:t xml:space="preserve">that seek to reduce capital on </w:t>
      </w:r>
      <w:r w:rsidR="00B90526">
        <w:rPr>
          <w:rFonts w:ascii="Times New Roman" w:hAnsi="Times New Roman"/>
          <w:lang w:eastAsia="en-GB"/>
        </w:rPr>
        <w:t xml:space="preserve">RMBS assets </w:t>
      </w:r>
      <w:r w:rsidRPr="00994DC2">
        <w:rPr>
          <w:rFonts w:ascii="Times New Roman" w:hAnsi="Times New Roman"/>
          <w:lang w:eastAsia="en-GB"/>
        </w:rPr>
        <w:t>on their balance sheet through synthetic securit</w:t>
      </w:r>
      <w:r w:rsidR="00146C95" w:rsidRPr="00994DC2">
        <w:rPr>
          <w:rFonts w:ascii="Times New Roman" w:hAnsi="Times New Roman"/>
          <w:lang w:eastAsia="en-GB"/>
        </w:rPr>
        <w:t>i</w:t>
      </w:r>
      <w:r w:rsidRPr="00994DC2">
        <w:rPr>
          <w:rFonts w:ascii="Times New Roman" w:hAnsi="Times New Roman"/>
          <w:lang w:eastAsia="en-GB"/>
        </w:rPr>
        <w:t>zatio</w:t>
      </w:r>
      <w:r w:rsidR="007D7B08" w:rsidRPr="00994DC2">
        <w:rPr>
          <w:rFonts w:ascii="Times New Roman" w:hAnsi="Times New Roman"/>
          <w:lang w:eastAsia="en-GB"/>
        </w:rPr>
        <w:t>n</w:t>
      </w:r>
      <w:r w:rsidR="002B4110" w:rsidRPr="00994DC2">
        <w:rPr>
          <w:rFonts w:ascii="Times New Roman" w:hAnsi="Times New Roman"/>
          <w:lang w:eastAsia="en-GB"/>
        </w:rPr>
        <w:t xml:space="preserve"> have an added bonus in the form of the carry trade profits</w:t>
      </w:r>
      <w:r w:rsidR="00354933" w:rsidRPr="00994DC2">
        <w:rPr>
          <w:rFonts w:ascii="Times New Roman" w:hAnsi="Times New Roman"/>
          <w:lang w:eastAsia="en-GB"/>
        </w:rPr>
        <w:t xml:space="preserve">. </w:t>
      </w:r>
      <w:r w:rsidR="00065D10" w:rsidRPr="00994DC2">
        <w:rPr>
          <w:rFonts w:ascii="Times New Roman" w:hAnsi="Times New Roman"/>
          <w:lang w:eastAsia="en-GB"/>
        </w:rPr>
        <w:t xml:space="preserve"> </w:t>
      </w:r>
      <w:r w:rsidR="001E2C56">
        <w:rPr>
          <w:rFonts w:ascii="Times New Roman" w:hAnsi="Times New Roman"/>
          <w:lang w:eastAsia="en-GB"/>
        </w:rPr>
        <w:t>T</w:t>
      </w:r>
      <w:r w:rsidR="00354933" w:rsidRPr="00994DC2">
        <w:rPr>
          <w:rFonts w:ascii="Times New Roman" w:hAnsi="Times New Roman"/>
          <w:lang w:eastAsia="en-GB"/>
        </w:rPr>
        <w:t>he exceptional growth of arbitrage CDOs in 2006</w:t>
      </w:r>
      <w:r w:rsidR="00146C95" w:rsidRPr="00994DC2">
        <w:rPr>
          <w:rFonts w:ascii="Times New Roman" w:hAnsi="Times New Roman"/>
          <w:lang w:eastAsia="en-GB"/>
        </w:rPr>
        <w:t xml:space="preserve"> </w:t>
      </w:r>
      <w:r w:rsidR="00354933" w:rsidRPr="00994DC2">
        <w:rPr>
          <w:rFonts w:ascii="Times New Roman" w:hAnsi="Times New Roman"/>
          <w:lang w:eastAsia="en-GB"/>
        </w:rPr>
        <w:t xml:space="preserve">and early 2007 </w:t>
      </w:r>
      <w:r w:rsidR="00146C95" w:rsidRPr="00994DC2">
        <w:rPr>
          <w:rFonts w:ascii="Times New Roman" w:hAnsi="Times New Roman"/>
          <w:lang w:eastAsia="en-GB"/>
        </w:rPr>
        <w:t xml:space="preserve">is because the CDO tranches offered more yield than cash assets such as corporate </w:t>
      </w:r>
      <w:r w:rsidR="00E156EF" w:rsidRPr="00994DC2">
        <w:rPr>
          <w:rFonts w:ascii="Times New Roman" w:hAnsi="Times New Roman"/>
          <w:lang w:eastAsia="en-GB"/>
        </w:rPr>
        <w:t>bonds</w:t>
      </w:r>
      <w:r w:rsidR="00146C95" w:rsidRPr="00994DC2">
        <w:rPr>
          <w:rFonts w:ascii="Times New Roman" w:hAnsi="Times New Roman"/>
          <w:lang w:eastAsia="en-GB"/>
        </w:rPr>
        <w:t xml:space="preserve"> </w:t>
      </w:r>
      <w:r w:rsidR="00024D72">
        <w:rPr>
          <w:rFonts w:ascii="Times New Roman" w:hAnsi="Times New Roman"/>
          <w:lang w:eastAsia="en-GB"/>
        </w:rPr>
        <w:t xml:space="preserve">with the same ratings </w:t>
      </w:r>
      <w:r w:rsidR="00146C95" w:rsidRPr="00994DC2">
        <w:rPr>
          <w:rFonts w:ascii="Times New Roman" w:hAnsi="Times New Roman"/>
          <w:lang w:eastAsia="en-GB"/>
        </w:rPr>
        <w:t xml:space="preserve">while the CDS spreads on the </w:t>
      </w:r>
      <w:r w:rsidR="00E156EF" w:rsidRPr="00994DC2">
        <w:rPr>
          <w:rFonts w:ascii="Times New Roman" w:hAnsi="Times New Roman"/>
          <w:lang w:eastAsia="en-GB"/>
        </w:rPr>
        <w:t>CDO tranches</w:t>
      </w:r>
      <w:r w:rsidR="00146C95" w:rsidRPr="00994DC2">
        <w:rPr>
          <w:rFonts w:ascii="Times New Roman" w:hAnsi="Times New Roman"/>
          <w:lang w:eastAsia="en-GB"/>
        </w:rPr>
        <w:t xml:space="preserve"> were underpriced</w:t>
      </w:r>
      <w:r w:rsidR="00024D72">
        <w:rPr>
          <w:rFonts w:ascii="Times New Roman" w:hAnsi="Times New Roman"/>
          <w:lang w:eastAsia="en-GB"/>
        </w:rPr>
        <w:t xml:space="preserve">. </w:t>
      </w:r>
      <w:r w:rsidR="00210254">
        <w:rPr>
          <w:rFonts w:ascii="Times New Roman" w:hAnsi="Times New Roman"/>
          <w:lang w:eastAsia="en-GB"/>
        </w:rPr>
        <w:t xml:space="preserve">The latter was specially the case for BBB and BBB- tranches. </w:t>
      </w:r>
      <w:proofErr w:type="spellStart"/>
      <w:r w:rsidR="00210254">
        <w:rPr>
          <w:rFonts w:ascii="Times New Roman" w:hAnsi="Times New Roman"/>
          <w:lang w:eastAsia="en-GB"/>
        </w:rPr>
        <w:t>Hamerle</w:t>
      </w:r>
      <w:proofErr w:type="spellEnd"/>
      <w:r w:rsidR="00210254">
        <w:rPr>
          <w:rFonts w:ascii="Times New Roman" w:hAnsi="Times New Roman"/>
          <w:lang w:eastAsia="en-GB"/>
        </w:rPr>
        <w:t xml:space="preserve"> </w:t>
      </w:r>
      <w:proofErr w:type="gramStart"/>
      <w:r w:rsidR="00210254">
        <w:rPr>
          <w:rFonts w:ascii="Times New Roman" w:hAnsi="Times New Roman"/>
          <w:lang w:eastAsia="en-GB"/>
        </w:rPr>
        <w:t>et</w:t>
      </w:r>
      <w:proofErr w:type="gramEnd"/>
      <w:r w:rsidR="00210254">
        <w:rPr>
          <w:rFonts w:ascii="Times New Roman" w:hAnsi="Times New Roman"/>
          <w:lang w:eastAsia="en-GB"/>
        </w:rPr>
        <w:t xml:space="preserve">. </w:t>
      </w:r>
      <w:proofErr w:type="gramStart"/>
      <w:r w:rsidR="00210254">
        <w:rPr>
          <w:rFonts w:ascii="Times New Roman" w:hAnsi="Times New Roman"/>
          <w:lang w:eastAsia="en-GB"/>
        </w:rPr>
        <w:t>al</w:t>
      </w:r>
      <w:proofErr w:type="gramEnd"/>
      <w:r w:rsidR="00210254">
        <w:rPr>
          <w:rFonts w:ascii="Times New Roman" w:hAnsi="Times New Roman"/>
          <w:lang w:eastAsia="en-GB"/>
        </w:rPr>
        <w:t xml:space="preserve"> (2009) maintain that the demand for CDO tranches </w:t>
      </w:r>
      <w:r w:rsidR="006677C8">
        <w:rPr>
          <w:rFonts w:ascii="Times New Roman" w:hAnsi="Times New Roman"/>
          <w:lang w:eastAsia="en-GB"/>
        </w:rPr>
        <w:t>arose</w:t>
      </w:r>
      <w:r w:rsidR="00210254">
        <w:rPr>
          <w:rFonts w:ascii="Times New Roman" w:hAnsi="Times New Roman"/>
          <w:lang w:eastAsia="en-GB"/>
        </w:rPr>
        <w:t xml:space="preserve"> because </w:t>
      </w:r>
      <w:r w:rsidR="00210254" w:rsidRPr="00210254">
        <w:rPr>
          <w:rFonts w:ascii="Times New Roman" w:hAnsi="Times New Roman"/>
        </w:rPr>
        <w:t xml:space="preserve">investors </w:t>
      </w:r>
      <w:r w:rsidR="006677C8">
        <w:rPr>
          <w:rFonts w:ascii="Times New Roman" w:hAnsi="Times New Roman"/>
        </w:rPr>
        <w:t>were</w:t>
      </w:r>
      <w:r w:rsidR="00210254" w:rsidRPr="00210254">
        <w:rPr>
          <w:rFonts w:ascii="Times New Roman" w:hAnsi="Times New Roman"/>
        </w:rPr>
        <w:t xml:space="preserve"> guided solely by the tranches’ rating and ignore the increased systematic risk for pricing</w:t>
      </w:r>
      <w:r w:rsidR="00210254">
        <w:rPr>
          <w:rFonts w:ascii="Times New Roman" w:hAnsi="Times New Roman"/>
        </w:rPr>
        <w:t xml:space="preserve">. </w:t>
      </w:r>
    </w:p>
    <w:p w:rsidR="00507A3A" w:rsidRPr="006F1367" w:rsidRDefault="00CC2E2A" w:rsidP="00CC2E2A">
      <w:pPr>
        <w:pStyle w:val="Heading2"/>
        <w:numPr>
          <w:ilvl w:val="0"/>
          <w:numId w:val="0"/>
        </w:numPr>
        <w:spacing w:line="360" w:lineRule="auto"/>
        <w:ind w:left="576" w:hanging="576"/>
        <w:rPr>
          <w:rFonts w:ascii="Times New Roman" w:hAnsi="Times New Roman"/>
          <w:i w:val="0"/>
          <w:sz w:val="22"/>
          <w:szCs w:val="22"/>
        </w:rPr>
      </w:pPr>
      <w:r w:rsidRPr="006F1367">
        <w:rPr>
          <w:rFonts w:ascii="Times New Roman" w:hAnsi="Times New Roman"/>
          <w:i w:val="0"/>
          <w:sz w:val="22"/>
          <w:szCs w:val="22"/>
        </w:rPr>
        <w:t xml:space="preserve"> 3.3 </w:t>
      </w:r>
      <w:r w:rsidR="00CC6328" w:rsidRPr="006F1367">
        <w:rPr>
          <w:rFonts w:ascii="Times New Roman" w:hAnsi="Times New Roman"/>
          <w:i w:val="0"/>
          <w:sz w:val="22"/>
          <w:szCs w:val="22"/>
        </w:rPr>
        <w:t xml:space="preserve">Agent Based </w:t>
      </w:r>
      <w:r w:rsidR="003954AC" w:rsidRPr="006F1367">
        <w:rPr>
          <w:rFonts w:ascii="Times New Roman" w:hAnsi="Times New Roman"/>
          <w:i w:val="0"/>
          <w:sz w:val="22"/>
          <w:szCs w:val="22"/>
        </w:rPr>
        <w:t xml:space="preserve">Model </w:t>
      </w:r>
      <w:r w:rsidR="00507A3A" w:rsidRPr="006F1367">
        <w:rPr>
          <w:rFonts w:ascii="Times New Roman" w:hAnsi="Times New Roman"/>
          <w:i w:val="0"/>
          <w:sz w:val="22"/>
          <w:szCs w:val="22"/>
        </w:rPr>
        <w:t xml:space="preserve">of Capital and </w:t>
      </w:r>
      <w:r w:rsidR="00CC6328" w:rsidRPr="006F1367">
        <w:rPr>
          <w:rFonts w:ascii="Times New Roman" w:hAnsi="Times New Roman"/>
          <w:i w:val="0"/>
          <w:sz w:val="22"/>
          <w:szCs w:val="22"/>
        </w:rPr>
        <w:t xml:space="preserve">CDS Basis Arbitrage Trade </w:t>
      </w:r>
      <w:r w:rsidR="002105BA" w:rsidRPr="006F1367">
        <w:rPr>
          <w:rFonts w:ascii="Times New Roman" w:hAnsi="Times New Roman"/>
          <w:i w:val="0"/>
          <w:sz w:val="22"/>
          <w:szCs w:val="22"/>
        </w:rPr>
        <w:t>Implementation</w:t>
      </w:r>
      <w:r w:rsidR="00263794" w:rsidRPr="006F1367">
        <w:rPr>
          <w:rFonts w:ascii="Times New Roman" w:hAnsi="Times New Roman"/>
          <w:i w:val="0"/>
          <w:sz w:val="22"/>
          <w:szCs w:val="22"/>
        </w:rPr>
        <w:t xml:space="preserve"> </w:t>
      </w:r>
    </w:p>
    <w:p w:rsidR="00F22663" w:rsidRPr="00994DC2" w:rsidRDefault="00E47851" w:rsidP="00994DC2">
      <w:pPr>
        <w:spacing w:line="360" w:lineRule="auto"/>
        <w:jc w:val="both"/>
        <w:rPr>
          <w:rFonts w:ascii="Times New Roman" w:hAnsi="Times New Roman"/>
        </w:rPr>
      </w:pPr>
      <w:r w:rsidRPr="00994DC2">
        <w:rPr>
          <w:rFonts w:ascii="Times New Roman" w:hAnsi="Times New Roman"/>
        </w:rPr>
        <w:t xml:space="preserve">The </w:t>
      </w:r>
      <w:r w:rsidR="008D1B36" w:rsidRPr="00994DC2">
        <w:rPr>
          <w:rFonts w:ascii="Times New Roman" w:hAnsi="Times New Roman"/>
        </w:rPr>
        <w:t>regulatory climate, the ensuing rise in CDS market liquidity and the creation of numerous CDS indices</w:t>
      </w:r>
      <w:r w:rsidRPr="00994DC2">
        <w:rPr>
          <w:rFonts w:ascii="Times New Roman" w:hAnsi="Times New Roman"/>
        </w:rPr>
        <w:t xml:space="preserve"> provide the underpinnings of </w:t>
      </w:r>
      <w:r w:rsidR="00210254">
        <w:rPr>
          <w:rFonts w:ascii="Times New Roman" w:hAnsi="Times New Roman"/>
        </w:rPr>
        <w:t>the</w:t>
      </w:r>
      <w:r w:rsidRPr="00994DC2">
        <w:rPr>
          <w:rFonts w:ascii="Times New Roman" w:hAnsi="Times New Roman"/>
        </w:rPr>
        <w:t xml:space="preserve"> CRT gaming </w:t>
      </w:r>
      <w:r w:rsidR="006114BE" w:rsidRPr="00994DC2">
        <w:rPr>
          <w:rFonts w:ascii="Times New Roman" w:hAnsi="Times New Roman"/>
        </w:rPr>
        <w:t xml:space="preserve">of banking regulation. This regulatory </w:t>
      </w:r>
      <w:r w:rsidR="008D1B36" w:rsidRPr="00994DC2">
        <w:rPr>
          <w:rFonts w:ascii="Times New Roman" w:hAnsi="Times New Roman"/>
        </w:rPr>
        <w:t>gaming</w:t>
      </w:r>
      <w:r w:rsidR="00CC6328" w:rsidRPr="00994DC2">
        <w:rPr>
          <w:rFonts w:ascii="Times New Roman" w:hAnsi="Times New Roman"/>
        </w:rPr>
        <w:t xml:space="preserve"> </w:t>
      </w:r>
      <w:r w:rsidR="006114BE" w:rsidRPr="00994DC2">
        <w:rPr>
          <w:rFonts w:ascii="Times New Roman" w:hAnsi="Times New Roman"/>
        </w:rPr>
        <w:t xml:space="preserve">allows banks to benefit on two fronts, firstly </w:t>
      </w:r>
      <w:r w:rsidR="00CC6328" w:rsidRPr="00994DC2">
        <w:rPr>
          <w:rFonts w:ascii="Times New Roman" w:hAnsi="Times New Roman"/>
        </w:rPr>
        <w:t xml:space="preserve">from </w:t>
      </w:r>
      <w:r w:rsidR="008D1B36" w:rsidRPr="00994DC2">
        <w:rPr>
          <w:rFonts w:ascii="Times New Roman" w:hAnsi="Times New Roman"/>
        </w:rPr>
        <w:t xml:space="preserve">leverage based on </w:t>
      </w:r>
      <w:r w:rsidR="006114BE" w:rsidRPr="00994DC2">
        <w:rPr>
          <w:rFonts w:ascii="Times New Roman" w:hAnsi="Times New Roman"/>
        </w:rPr>
        <w:t xml:space="preserve">reduced capital </w:t>
      </w:r>
      <w:r w:rsidR="008D1B36" w:rsidRPr="00994DC2">
        <w:rPr>
          <w:rFonts w:ascii="Times New Roman" w:hAnsi="Times New Roman"/>
        </w:rPr>
        <w:t>charges</w:t>
      </w:r>
      <w:r w:rsidR="006114BE" w:rsidRPr="00994DC2">
        <w:rPr>
          <w:rFonts w:ascii="Times New Roman" w:hAnsi="Times New Roman"/>
        </w:rPr>
        <w:t xml:space="preserve"> against assets held on their balance sheets as defined in equation </w:t>
      </w:r>
      <w:r w:rsidR="00AC722D" w:rsidRPr="00994DC2">
        <w:rPr>
          <w:rFonts w:ascii="Times New Roman" w:hAnsi="Times New Roman"/>
        </w:rPr>
        <w:t>1. S</w:t>
      </w:r>
      <w:r w:rsidR="008D1B36" w:rsidRPr="00994DC2">
        <w:rPr>
          <w:rFonts w:ascii="Times New Roman" w:hAnsi="Times New Roman"/>
        </w:rPr>
        <w:t>econdly</w:t>
      </w:r>
      <w:r w:rsidR="006114BE" w:rsidRPr="00994DC2">
        <w:rPr>
          <w:rFonts w:ascii="Times New Roman" w:hAnsi="Times New Roman"/>
        </w:rPr>
        <w:t>, as holders of the credit exposures, banks are also able to gain additional</w:t>
      </w:r>
      <w:r w:rsidR="00065E4F" w:rsidRPr="00994DC2">
        <w:rPr>
          <w:rFonts w:ascii="Times New Roman" w:hAnsi="Times New Roman"/>
        </w:rPr>
        <w:t xml:space="preserve"> per-tranche</w:t>
      </w:r>
      <w:r w:rsidR="006114BE" w:rsidRPr="00994DC2">
        <w:rPr>
          <w:rFonts w:ascii="Times New Roman" w:hAnsi="Times New Roman"/>
        </w:rPr>
        <w:t xml:space="preserve"> basis or carry-trade income from holding such assets and buying credit protection against them. </w:t>
      </w:r>
      <w:r w:rsidR="006B2565">
        <w:rPr>
          <w:rFonts w:ascii="Times New Roman" w:hAnsi="Times New Roman"/>
        </w:rPr>
        <w:t>Using</w:t>
      </w:r>
      <w:r w:rsidR="008D1B36" w:rsidRPr="00994DC2">
        <w:rPr>
          <w:rFonts w:ascii="Times New Roman" w:hAnsi="Times New Roman"/>
        </w:rPr>
        <w:t xml:space="preserve"> equation </w:t>
      </w:r>
      <w:r w:rsidR="006B2565">
        <w:rPr>
          <w:rFonts w:ascii="Times New Roman" w:hAnsi="Times New Roman"/>
        </w:rPr>
        <w:t>(1)</w:t>
      </w:r>
      <w:r w:rsidR="008D1B36" w:rsidRPr="00994DC2">
        <w:rPr>
          <w:rFonts w:ascii="Times New Roman" w:hAnsi="Times New Roman"/>
        </w:rPr>
        <w:t xml:space="preserve"> we derive the </w:t>
      </w:r>
      <w:r w:rsidR="00F22663" w:rsidRPr="00994DC2">
        <w:rPr>
          <w:rFonts w:ascii="Times New Roman" w:hAnsi="Times New Roman"/>
        </w:rPr>
        <w:t>initial per-tranche gain or loss</w:t>
      </w:r>
      <w:r w:rsidR="00A76934">
        <w:rPr>
          <w:rFonts w:ascii="Times New Roman" w:hAnsi="Times New Roman"/>
        </w:rPr>
        <w:t>,</w:t>
      </w:r>
      <w:r w:rsidR="004B455F" w:rsidRPr="00994DC2">
        <w:rPr>
          <w:rFonts w:ascii="Times New Roman" w:hAnsi="Times New Roman"/>
        </w:rPr>
        <w:t xml:space="preserve"> </w:t>
      </w:r>
      <w:proofErr w:type="gramStart"/>
      <w:r w:rsidR="004B455F" w:rsidRPr="00994DC2">
        <w:rPr>
          <w:rFonts w:ascii="Times New Roman" w:hAnsi="Times New Roman"/>
        </w:rPr>
        <w:t>π</w:t>
      </w:r>
      <w:r w:rsidR="00D61ECF">
        <w:rPr>
          <w:rFonts w:ascii="Times New Roman" w:hAnsi="Times New Roman"/>
          <w:vertAlign w:val="subscript"/>
        </w:rPr>
        <w:t>it</w:t>
      </w:r>
      <w:r w:rsidR="00D61ECF">
        <w:rPr>
          <w:rFonts w:ascii="Times New Roman" w:hAnsi="Times New Roman"/>
        </w:rPr>
        <w:t xml:space="preserve"> </w:t>
      </w:r>
      <w:r w:rsidR="004B455F" w:rsidRPr="00994DC2">
        <w:rPr>
          <w:rFonts w:ascii="Times New Roman" w:hAnsi="Times New Roman"/>
        </w:rPr>
        <w:t>,</w:t>
      </w:r>
      <w:proofErr w:type="gramEnd"/>
      <w:r w:rsidR="00F22663" w:rsidRPr="00994DC2">
        <w:rPr>
          <w:rFonts w:ascii="Times New Roman" w:hAnsi="Times New Roman"/>
        </w:rPr>
        <w:t xml:space="preserve">  </w:t>
      </w:r>
    </w:p>
    <w:p w:rsidR="00A064BC" w:rsidRPr="00994DC2" w:rsidRDefault="006B2565" w:rsidP="00994DC2">
      <w:pPr>
        <w:spacing w:line="360" w:lineRule="auto"/>
        <w:jc w:val="both"/>
        <w:rPr>
          <w:rFonts w:ascii="Times New Roman" w:hAnsi="Times New Roman"/>
        </w:rPr>
      </w:pPr>
      <w:r>
        <w:rPr>
          <w:rFonts w:ascii="Symbol" w:hAnsi="Symbol"/>
          <w:sz w:val="24"/>
          <w:szCs w:val="24"/>
        </w:rPr>
        <w:t></w:t>
      </w:r>
      <w:r>
        <w:rPr>
          <w:rFonts w:ascii="Symbol" w:hAnsi="Symbol"/>
          <w:sz w:val="24"/>
          <w:szCs w:val="24"/>
        </w:rPr>
        <w:t></w:t>
      </w:r>
      <w:r>
        <w:rPr>
          <w:rFonts w:ascii="Symbol" w:hAnsi="Symbol"/>
          <w:sz w:val="24"/>
          <w:szCs w:val="24"/>
        </w:rPr>
        <w:t></w:t>
      </w:r>
      <w:r>
        <w:rPr>
          <w:rFonts w:ascii="Symbol" w:hAnsi="Symbol"/>
          <w:sz w:val="24"/>
          <w:szCs w:val="24"/>
        </w:rPr>
        <w:t></w:t>
      </w:r>
      <w:r>
        <w:rPr>
          <w:rFonts w:ascii="Symbol" w:hAnsi="Symbol"/>
          <w:sz w:val="24"/>
          <w:szCs w:val="24"/>
        </w:rPr>
        <w:t></w:t>
      </w:r>
      <w:r>
        <w:rPr>
          <w:rFonts w:ascii="Symbol" w:hAnsi="Symbol"/>
          <w:sz w:val="24"/>
          <w:szCs w:val="24"/>
        </w:rPr>
        <w:t></w:t>
      </w:r>
      <w:r>
        <w:rPr>
          <w:rFonts w:ascii="Symbol" w:hAnsi="Symbol"/>
          <w:sz w:val="24"/>
          <w:szCs w:val="24"/>
        </w:rPr>
        <w:t></w:t>
      </w:r>
      <w:r>
        <w:rPr>
          <w:rFonts w:ascii="Symbol" w:hAnsi="Symbol"/>
          <w:sz w:val="24"/>
          <w:szCs w:val="24"/>
        </w:rPr>
        <w:t></w:t>
      </w:r>
      <w:r>
        <w:rPr>
          <w:rFonts w:ascii="Symbol" w:hAnsi="Symbol"/>
          <w:sz w:val="24"/>
          <w:szCs w:val="24"/>
        </w:rPr>
        <w:t></w:t>
      </w:r>
      <w:r>
        <w:rPr>
          <w:rFonts w:ascii="Symbol" w:hAnsi="Symbol"/>
          <w:sz w:val="24"/>
          <w:szCs w:val="24"/>
        </w:rPr>
        <w:t></w:t>
      </w:r>
      <w:r>
        <w:rPr>
          <w:rFonts w:ascii="Symbol" w:hAnsi="Symbol"/>
          <w:sz w:val="24"/>
          <w:szCs w:val="24"/>
        </w:rPr>
        <w:t></w:t>
      </w:r>
      <w:r>
        <w:rPr>
          <w:rFonts w:ascii="Symbol" w:hAnsi="Symbol"/>
          <w:sz w:val="24"/>
          <w:szCs w:val="24"/>
        </w:rPr>
        <w:t></w:t>
      </w:r>
      <w:r>
        <w:rPr>
          <w:rFonts w:ascii="Symbol" w:hAnsi="Symbol"/>
          <w:sz w:val="24"/>
          <w:szCs w:val="24"/>
        </w:rPr>
        <w:t></w:t>
      </w:r>
      <w:r>
        <w:rPr>
          <w:rFonts w:ascii="Symbol" w:hAnsi="Symbol"/>
          <w:sz w:val="24"/>
          <w:szCs w:val="24"/>
        </w:rPr>
        <w:t></w:t>
      </w:r>
      <w:r>
        <w:rPr>
          <w:rFonts w:ascii="Symbol" w:hAnsi="Symbol"/>
          <w:sz w:val="24"/>
          <w:szCs w:val="24"/>
        </w:rPr>
        <w:t></w:t>
      </w:r>
      <w:r>
        <w:rPr>
          <w:rFonts w:ascii="Symbol" w:hAnsi="Symbol"/>
          <w:sz w:val="24"/>
          <w:szCs w:val="24"/>
        </w:rPr>
        <w:t></w:t>
      </w:r>
      <w:r>
        <w:rPr>
          <w:rFonts w:ascii="Symbol" w:hAnsi="Symbol"/>
          <w:sz w:val="24"/>
          <w:szCs w:val="24"/>
        </w:rPr>
        <w:t></w:t>
      </w:r>
      <w:r w:rsidRPr="00A064BC">
        <w:rPr>
          <w:rFonts w:ascii="Symbol" w:hAnsi="Symbol"/>
          <w:sz w:val="24"/>
          <w:szCs w:val="24"/>
        </w:rPr>
        <w:t></w:t>
      </w:r>
      <w:r>
        <w:rPr>
          <w:rFonts w:ascii="Times New Roman" w:hAnsi="Times New Roman"/>
          <w:sz w:val="24"/>
          <w:szCs w:val="24"/>
          <w:vertAlign w:val="subscript"/>
        </w:rPr>
        <w:t>i</w:t>
      </w:r>
      <w:r w:rsidR="00C36DB0">
        <w:rPr>
          <w:rFonts w:ascii="Times New Roman" w:hAnsi="Times New Roman"/>
          <w:sz w:val="24"/>
          <w:szCs w:val="24"/>
          <w:vertAlign w:val="subscript"/>
        </w:rPr>
        <w:t>t</w:t>
      </w:r>
      <w:r>
        <w:rPr>
          <w:rFonts w:ascii="Times New Roman" w:hAnsi="Times New Roman"/>
          <w:sz w:val="24"/>
          <w:szCs w:val="24"/>
        </w:rPr>
        <w:t xml:space="preserve">    =</w:t>
      </w:r>
      <w:r>
        <w:rPr>
          <w:rFonts w:ascii="Symbol" w:hAnsi="Symbol"/>
        </w:rPr>
        <w:t></w:t>
      </w:r>
      <w:r>
        <w:rPr>
          <w:rFonts w:ascii="Symbol" w:hAnsi="Symbol"/>
        </w:rPr>
        <w:t></w:t>
      </w:r>
      <w:r>
        <w:rPr>
          <w:rFonts w:ascii="Symbol" w:hAnsi="Symbol"/>
        </w:rPr>
        <w:t></w:t>
      </w:r>
      <w:r w:rsidR="007354DD">
        <w:rPr>
          <w:rFonts w:ascii="Symbol" w:hAnsi="Symbol"/>
        </w:rPr>
        <w:t></w:t>
      </w:r>
      <w:r w:rsidRPr="005E3FF7">
        <w:rPr>
          <w:rFonts w:ascii="Symbol" w:hAnsi="Symbol"/>
        </w:rPr>
        <w:t></w:t>
      </w:r>
      <w:r w:rsidRPr="005E3FF7">
        <w:rPr>
          <w:rFonts w:ascii="Symbol" w:hAnsi="Symbol"/>
        </w:rPr>
        <w:t></w:t>
      </w:r>
      <w:r w:rsidRPr="005E3FF7">
        <w:rPr>
          <w:rFonts w:ascii="Symbol" w:hAnsi="Symbol"/>
        </w:rPr>
        <w:t></w:t>
      </w:r>
      <w:proofErr w:type="spellStart"/>
      <w:r w:rsidRPr="005E3FF7">
        <w:rPr>
          <w:vertAlign w:val="subscript"/>
        </w:rPr>
        <w:t>i</w:t>
      </w:r>
      <w:proofErr w:type="spellEnd"/>
      <w:r w:rsidRPr="005E3FF7">
        <w:rPr>
          <w:rFonts w:ascii="Symbol" w:hAnsi="Symbol"/>
        </w:rPr>
        <w:t></w:t>
      </w:r>
      <w:r w:rsidRPr="005E3FF7">
        <w:rPr>
          <w:rFonts w:ascii="Symbol" w:hAnsi="Symbol"/>
        </w:rPr>
        <w:t></w:t>
      </w:r>
      <w:r w:rsidRPr="005E3FF7">
        <w:rPr>
          <w:rFonts w:ascii="Symbol" w:hAnsi="Symbol"/>
        </w:rPr>
        <w:t></w:t>
      </w:r>
      <w:r w:rsidRPr="005E3FF7">
        <w:rPr>
          <w:rFonts w:ascii="Symbol" w:hAnsi="Symbol"/>
        </w:rPr>
        <w:t></w:t>
      </w:r>
      <w:r w:rsidRPr="005E3FF7">
        <w:rPr>
          <w:rFonts w:ascii="Symbol" w:hAnsi="Symbol"/>
        </w:rPr>
        <w:t></w:t>
      </w:r>
      <w:proofErr w:type="spellStart"/>
      <w:r w:rsidRPr="005E3FF7">
        <w:rPr>
          <w:vertAlign w:val="subscript"/>
        </w:rPr>
        <w:t>i</w:t>
      </w:r>
      <w:proofErr w:type="spellEnd"/>
      <w:r w:rsidRPr="005E3FF7">
        <w:t xml:space="preserve"> </w:t>
      </w:r>
      <w:r w:rsidR="00767378" w:rsidRPr="005E3FF7">
        <w:rPr>
          <w:vertAlign w:val="superscript"/>
        </w:rPr>
        <w:t>CRM</w:t>
      </w:r>
      <w:proofErr w:type="gramStart"/>
      <w:r w:rsidR="00767378" w:rsidRPr="005E3FF7">
        <w:t>)</w:t>
      </w:r>
      <w:r w:rsidRPr="005E3FF7">
        <w:t xml:space="preserve"> </w:t>
      </w:r>
      <w:r>
        <w:t xml:space="preserve"> -</w:t>
      </w:r>
      <w:proofErr w:type="gramEnd"/>
      <w:r w:rsidRPr="005E3FF7">
        <w:t xml:space="preserve"> (</w:t>
      </w:r>
      <w:proofErr w:type="spellStart"/>
      <w:r w:rsidRPr="005E3FF7">
        <w:t>λ</w:t>
      </w:r>
      <w:r w:rsidRPr="005E3FF7">
        <w:rPr>
          <w:vertAlign w:val="subscript"/>
        </w:rPr>
        <w:t>t</w:t>
      </w:r>
      <w:proofErr w:type="spellEnd"/>
      <w:r w:rsidRPr="005E3FF7">
        <w:t xml:space="preserve"> – </w:t>
      </w:r>
      <w:r>
        <w:t xml:space="preserve"> (</w:t>
      </w:r>
      <w:proofErr w:type="spellStart"/>
      <w:r w:rsidRPr="005E3FF7">
        <w:t>y</w:t>
      </w:r>
      <w:r w:rsidRPr="005E3FF7">
        <w:rPr>
          <w:vertAlign w:val="subscript"/>
        </w:rPr>
        <w:t>it</w:t>
      </w:r>
      <w:proofErr w:type="spellEnd"/>
      <w:r w:rsidRPr="005E3FF7">
        <w:rPr>
          <w:vertAlign w:val="subscript"/>
        </w:rPr>
        <w:t xml:space="preserve"> </w:t>
      </w:r>
      <w:r w:rsidRPr="005E3FF7">
        <w:t xml:space="preserve">- </w:t>
      </w:r>
      <w:proofErr w:type="spellStart"/>
      <w:r w:rsidRPr="005E3FF7">
        <w:t>r</w:t>
      </w:r>
      <w:r w:rsidRPr="005E3FF7">
        <w:rPr>
          <w:vertAlign w:val="subscript"/>
        </w:rPr>
        <w:t>t</w:t>
      </w:r>
      <w:proofErr w:type="spellEnd"/>
      <w:r w:rsidRPr="005E3FF7">
        <w:t>)</w:t>
      </w:r>
      <w:r>
        <w:t>)</w:t>
      </w:r>
      <w:r w:rsidR="007354DD">
        <w:t>]</w:t>
      </w:r>
      <w:r w:rsidR="00F975E6" w:rsidRPr="00F975E6">
        <w:rPr>
          <w:rFonts w:ascii="Times New Roman" w:hAnsi="Times New Roman"/>
        </w:rPr>
        <w:t xml:space="preserve"> </w:t>
      </w:r>
      <w:proofErr w:type="spellStart"/>
      <w:r w:rsidR="00F975E6">
        <w:rPr>
          <w:rFonts w:ascii="Times New Roman" w:hAnsi="Times New Roman"/>
        </w:rPr>
        <w:t>X</w:t>
      </w:r>
      <w:r w:rsidR="00F975E6">
        <w:rPr>
          <w:rFonts w:ascii="Times New Roman" w:hAnsi="Times New Roman"/>
          <w:vertAlign w:val="subscript"/>
        </w:rPr>
        <w:t>i</w:t>
      </w:r>
      <w:r w:rsidR="00D61ECF">
        <w:rPr>
          <w:rFonts w:ascii="Times New Roman" w:hAnsi="Times New Roman"/>
          <w:vertAlign w:val="subscript"/>
        </w:rPr>
        <w:t>t</w:t>
      </w:r>
      <w:proofErr w:type="spellEnd"/>
      <w:r>
        <w:t xml:space="preserve">     </w:t>
      </w:r>
      <w:r w:rsidR="00AC242D">
        <w:t>.</w:t>
      </w:r>
      <w:r>
        <w:t xml:space="preserve">       </w:t>
      </w:r>
      <w:r w:rsidR="00C76508">
        <w:rPr>
          <w:rFonts w:ascii="Times New Roman" w:hAnsi="Times New Roman"/>
        </w:rPr>
        <w:t xml:space="preserve">                    (</w:t>
      </w:r>
      <w:r w:rsidR="007C3850">
        <w:rPr>
          <w:rFonts w:ascii="Times New Roman" w:hAnsi="Times New Roman"/>
        </w:rPr>
        <w:t>2</w:t>
      </w:r>
      <w:r w:rsidR="00B45937" w:rsidRPr="00994DC2">
        <w:rPr>
          <w:rFonts w:ascii="Times New Roman" w:hAnsi="Times New Roman"/>
        </w:rPr>
        <w:t xml:space="preserve">) </w:t>
      </w:r>
    </w:p>
    <w:p w:rsidR="004C7F9E" w:rsidRPr="00994DC2" w:rsidRDefault="00F975E6" w:rsidP="00994DC2">
      <w:pPr>
        <w:spacing w:line="360" w:lineRule="auto"/>
        <w:jc w:val="both"/>
        <w:rPr>
          <w:rFonts w:ascii="Times New Roman" w:hAnsi="Times New Roman"/>
        </w:rPr>
      </w:pPr>
      <w:r>
        <w:rPr>
          <w:rFonts w:ascii="Times New Roman" w:hAnsi="Times New Roman"/>
        </w:rPr>
        <w:t>Here X</w:t>
      </w:r>
      <w:r>
        <w:rPr>
          <w:rFonts w:ascii="Times New Roman" w:hAnsi="Times New Roman"/>
          <w:vertAlign w:val="subscript"/>
        </w:rPr>
        <w:t>i</w:t>
      </w:r>
      <w:r>
        <w:rPr>
          <w:rFonts w:ascii="Times New Roman" w:hAnsi="Times New Roman"/>
        </w:rPr>
        <w:t xml:space="preserve"> is the $ value of the underlying tranche. </w:t>
      </w:r>
      <w:r w:rsidR="00D61ECF">
        <w:rPr>
          <w:rFonts w:ascii="Times New Roman" w:hAnsi="Times New Roman"/>
        </w:rPr>
        <w:t xml:space="preserve"> </w:t>
      </w:r>
      <w:r w:rsidR="00B45937" w:rsidRPr="00994DC2">
        <w:rPr>
          <w:rFonts w:ascii="Times New Roman" w:hAnsi="Times New Roman"/>
        </w:rPr>
        <w:t xml:space="preserve">It is assumed that the strategy of capital reduction using CDS risk </w:t>
      </w:r>
      <w:proofErr w:type="spellStart"/>
      <w:r w:rsidR="00B45937" w:rsidRPr="00994DC2">
        <w:rPr>
          <w:rFonts w:ascii="Times New Roman" w:hAnsi="Times New Roman"/>
        </w:rPr>
        <w:t>mitigant</w:t>
      </w:r>
      <w:proofErr w:type="spellEnd"/>
      <w:r w:rsidR="00B45937" w:rsidRPr="00994DC2">
        <w:rPr>
          <w:rFonts w:ascii="Times New Roman" w:hAnsi="Times New Roman"/>
        </w:rPr>
        <w:t xml:space="preserve"> and the negative</w:t>
      </w:r>
      <w:r w:rsidR="0093722D">
        <w:rPr>
          <w:rFonts w:ascii="Times New Roman" w:hAnsi="Times New Roman"/>
        </w:rPr>
        <w:t xml:space="preserve"> CDS</w:t>
      </w:r>
      <w:r w:rsidR="00B45937" w:rsidRPr="00994DC2">
        <w:rPr>
          <w:rFonts w:ascii="Times New Roman" w:hAnsi="Times New Roman"/>
        </w:rPr>
        <w:t xml:space="preserve"> carry trade proceed simultaneously when conditions for both overlap.  When a </w:t>
      </w:r>
      <w:r w:rsidR="00214E3B" w:rsidRPr="00994DC2">
        <w:rPr>
          <w:rFonts w:ascii="Times New Roman" w:hAnsi="Times New Roman"/>
        </w:rPr>
        <w:t>negative</w:t>
      </w:r>
      <w:r w:rsidR="00B45937" w:rsidRPr="00994DC2">
        <w:rPr>
          <w:rFonts w:ascii="Times New Roman" w:hAnsi="Times New Roman"/>
        </w:rPr>
        <w:t xml:space="preserve"> basis does not prevail but the capital arbitrage is still lucrative, then (</w:t>
      </w:r>
      <w:r w:rsidR="007C3850">
        <w:rPr>
          <w:rFonts w:ascii="Times New Roman" w:hAnsi="Times New Roman"/>
        </w:rPr>
        <w:t>2</w:t>
      </w:r>
      <w:r w:rsidR="00B45937" w:rsidRPr="00994DC2">
        <w:rPr>
          <w:rFonts w:ascii="Times New Roman" w:hAnsi="Times New Roman"/>
        </w:rPr>
        <w:t xml:space="preserve">) above becomes the net income from the strategy.  </w:t>
      </w:r>
      <w:r w:rsidR="00D61ECF">
        <w:rPr>
          <w:rFonts w:ascii="Times New Roman" w:hAnsi="Times New Roman"/>
        </w:rPr>
        <w:t xml:space="preserve">Setting i= 1 to be the senior tranche and i= 2 to be the mezzanine tranche, we assume that </w:t>
      </w:r>
      <w:r w:rsidR="00825282">
        <w:rPr>
          <w:rFonts w:ascii="Times New Roman" w:hAnsi="Times New Roman"/>
        </w:rPr>
        <w:t xml:space="preserve">at time t </w:t>
      </w:r>
      <w:r w:rsidR="00D61ECF">
        <w:rPr>
          <w:rFonts w:ascii="Times New Roman" w:hAnsi="Times New Roman"/>
        </w:rPr>
        <w:t>the net profit</w:t>
      </w:r>
      <w:r w:rsidR="00694076">
        <w:rPr>
          <w:rFonts w:ascii="Times New Roman" w:hAnsi="Times New Roman"/>
        </w:rPr>
        <w:t xml:space="preserve"> </w:t>
      </w:r>
      <w:r w:rsidR="00825282">
        <w:rPr>
          <w:rFonts w:ascii="Times New Roman" w:hAnsi="Times New Roman"/>
        </w:rPr>
        <w:t>from t-1</w:t>
      </w:r>
      <w:r w:rsidR="0038073E">
        <w:rPr>
          <w:rFonts w:ascii="Times New Roman" w:hAnsi="Times New Roman"/>
        </w:rPr>
        <w:t>is</w:t>
      </w:r>
      <w:r w:rsidR="00D61ECF">
        <w:rPr>
          <w:rFonts w:ascii="Times New Roman" w:hAnsi="Times New Roman"/>
        </w:rPr>
        <w:t xml:space="preserve"> reinvested between the 2 tranches in terms of 40% and 60%.</w:t>
      </w:r>
      <w:r w:rsidR="00C006E9">
        <w:rPr>
          <w:rStyle w:val="FootnoteReference"/>
          <w:rFonts w:ascii="Times New Roman" w:hAnsi="Times New Roman"/>
        </w:rPr>
        <w:footnoteReference w:id="16"/>
      </w:r>
      <w:r w:rsidR="00D61ECF">
        <w:rPr>
          <w:rFonts w:ascii="Times New Roman" w:hAnsi="Times New Roman"/>
        </w:rPr>
        <w:t xml:space="preserve">  The mezzanine tranche is then invested in the ABX</w:t>
      </w:r>
      <w:r w:rsidR="00C02E80">
        <w:rPr>
          <w:rFonts w:ascii="Times New Roman" w:hAnsi="Times New Roman"/>
        </w:rPr>
        <w:t>-HE</w:t>
      </w:r>
      <w:r w:rsidR="00D61ECF">
        <w:rPr>
          <w:rFonts w:ascii="Times New Roman" w:hAnsi="Times New Roman"/>
        </w:rPr>
        <w:t xml:space="preserve"> ratings band that provide</w:t>
      </w:r>
      <w:r w:rsidR="00BE2F9E">
        <w:rPr>
          <w:rFonts w:ascii="Times New Roman" w:hAnsi="Times New Roman"/>
        </w:rPr>
        <w:t>s</w:t>
      </w:r>
      <w:r w:rsidR="00D61ECF">
        <w:rPr>
          <w:rFonts w:ascii="Times New Roman" w:hAnsi="Times New Roman"/>
        </w:rPr>
        <w:t xml:space="preserve"> the greatest return in terms of </w:t>
      </w:r>
      <w:r w:rsidR="00A76934">
        <w:rPr>
          <w:rFonts w:ascii="Times New Roman" w:hAnsi="Times New Roman"/>
        </w:rPr>
        <w:t xml:space="preserve">CDS </w:t>
      </w:r>
      <w:r w:rsidR="00D61ECF">
        <w:rPr>
          <w:rFonts w:ascii="Times New Roman" w:hAnsi="Times New Roman"/>
        </w:rPr>
        <w:t>basis</w:t>
      </w:r>
      <w:r w:rsidR="00825282">
        <w:rPr>
          <w:rFonts w:ascii="Times New Roman" w:hAnsi="Times New Roman"/>
        </w:rPr>
        <w:t xml:space="preserve"> at time t</w:t>
      </w:r>
      <w:r w:rsidR="00D61ECF">
        <w:rPr>
          <w:rFonts w:ascii="Times New Roman" w:hAnsi="Times New Roman"/>
        </w:rPr>
        <w:t>.</w:t>
      </w:r>
      <w:r w:rsidR="00825282">
        <w:rPr>
          <w:rFonts w:ascii="Times New Roman" w:hAnsi="Times New Roman"/>
        </w:rPr>
        <w:t xml:space="preserve">  Positions are assumed to be held to maturity where the maturity dates follow the vintage of the selected ABX-HE tranche. </w:t>
      </w:r>
      <w:r w:rsidR="00694076">
        <w:rPr>
          <w:rFonts w:ascii="Times New Roman" w:hAnsi="Times New Roman"/>
        </w:rPr>
        <w:t>In the simulation, t</w:t>
      </w:r>
      <w:r w:rsidR="00FD5B7D">
        <w:rPr>
          <w:rFonts w:ascii="Times New Roman" w:hAnsi="Times New Roman"/>
        </w:rPr>
        <w:t>wo factors will affect the</w:t>
      </w:r>
      <w:r w:rsidR="00694076">
        <w:rPr>
          <w:rFonts w:ascii="Times New Roman" w:hAnsi="Times New Roman"/>
        </w:rPr>
        <w:t xml:space="preserve"> growth of banks’ holdings of RMBS assets.  These are </w:t>
      </w:r>
      <w:r w:rsidR="00694076">
        <w:rPr>
          <w:rFonts w:ascii="Times New Roman" w:hAnsi="Times New Roman"/>
        </w:rPr>
        <w:lastRenderedPageBreak/>
        <w:t xml:space="preserve">ABX-HE prices and the use of leverage.  </w:t>
      </w:r>
      <w:r w:rsidR="00BE2F9E">
        <w:rPr>
          <w:rFonts w:ascii="Times New Roman" w:hAnsi="Times New Roman"/>
        </w:rPr>
        <w:t>The</w:t>
      </w:r>
      <w:r w:rsidR="00694076">
        <w:rPr>
          <w:rFonts w:ascii="Times New Roman" w:hAnsi="Times New Roman"/>
        </w:rPr>
        <w:t xml:space="preserve"> baseline</w:t>
      </w:r>
      <w:r w:rsidR="00BE2F9E">
        <w:rPr>
          <w:rFonts w:ascii="Times New Roman" w:hAnsi="Times New Roman"/>
        </w:rPr>
        <w:t xml:space="preserve"> growth </w:t>
      </w:r>
      <w:r w:rsidR="00B45937" w:rsidRPr="00994DC2">
        <w:rPr>
          <w:rFonts w:ascii="Times New Roman" w:hAnsi="Times New Roman"/>
        </w:rPr>
        <w:t xml:space="preserve">in balance sheet holdings of RMBS </w:t>
      </w:r>
      <w:r w:rsidR="00694076">
        <w:rPr>
          <w:rFonts w:ascii="Times New Roman" w:hAnsi="Times New Roman"/>
        </w:rPr>
        <w:t xml:space="preserve">in the case of no leverage </w:t>
      </w:r>
      <w:r w:rsidR="00B45937" w:rsidRPr="00994DC2">
        <w:rPr>
          <w:rFonts w:ascii="Times New Roman" w:hAnsi="Times New Roman"/>
        </w:rPr>
        <w:t xml:space="preserve">is </w:t>
      </w:r>
      <w:r w:rsidR="004C7F9E" w:rsidRPr="00994DC2">
        <w:rPr>
          <w:rFonts w:ascii="Times New Roman" w:hAnsi="Times New Roman"/>
        </w:rPr>
        <w:t xml:space="preserve">given by the </w:t>
      </w:r>
      <w:proofErr w:type="gramStart"/>
      <w:r w:rsidR="004C7F9E" w:rsidRPr="00994DC2">
        <w:rPr>
          <w:rFonts w:ascii="Times New Roman" w:hAnsi="Times New Roman"/>
        </w:rPr>
        <w:t xml:space="preserve">following </w:t>
      </w:r>
      <w:r w:rsidR="00EC0EE3">
        <w:rPr>
          <w:rFonts w:ascii="Times New Roman" w:hAnsi="Times New Roman"/>
        </w:rPr>
        <w:t>:</w:t>
      </w:r>
      <w:proofErr w:type="gramEnd"/>
      <w:r w:rsidR="004C7F9E" w:rsidRPr="00994DC2">
        <w:rPr>
          <w:rFonts w:ascii="Times New Roman" w:hAnsi="Times New Roman"/>
        </w:rPr>
        <w:t xml:space="preserve"> </w:t>
      </w:r>
    </w:p>
    <w:p w:rsidR="00D61ECF" w:rsidRDefault="00BE2F9E" w:rsidP="00994DC2">
      <w:pPr>
        <w:spacing w:line="360" w:lineRule="auto"/>
        <w:jc w:val="both"/>
        <w:rPr>
          <w:rFonts w:ascii="Times New Roman" w:hAnsi="Times New Roman"/>
          <w:sz w:val="24"/>
          <w:szCs w:val="24"/>
        </w:rPr>
      </w:pPr>
      <w:r>
        <w:rPr>
          <w:rFonts w:ascii="Times New Roman" w:hAnsi="Times New Roman"/>
          <w:i/>
        </w:rPr>
        <w:t xml:space="preserve"> </w:t>
      </w:r>
      <w:r w:rsidR="0038073E">
        <w:rPr>
          <w:rFonts w:ascii="Times New Roman" w:hAnsi="Times New Roman"/>
          <w:i/>
        </w:rPr>
        <w:t>No Leverage:</w:t>
      </w:r>
      <w:r>
        <w:rPr>
          <w:rFonts w:ascii="Times New Roman" w:hAnsi="Times New Roman"/>
          <w:i/>
        </w:rPr>
        <w:t xml:space="preserve">                                </w:t>
      </w:r>
      <w:proofErr w:type="spellStart"/>
      <w:r w:rsidR="00767378" w:rsidRPr="00994DC2">
        <w:rPr>
          <w:rFonts w:ascii="Times New Roman" w:hAnsi="Times New Roman"/>
          <w:i/>
        </w:rPr>
        <w:t>RMBS</w:t>
      </w:r>
      <w:r w:rsidR="00767378" w:rsidRPr="00994DC2">
        <w:rPr>
          <w:rFonts w:ascii="Times New Roman" w:hAnsi="Times New Roman"/>
          <w:i/>
          <w:vertAlign w:val="subscript"/>
        </w:rPr>
        <w:t>t</w:t>
      </w:r>
      <w:proofErr w:type="spellEnd"/>
      <w:r w:rsidR="00767378" w:rsidRPr="00994DC2">
        <w:rPr>
          <w:rFonts w:ascii="Times New Roman" w:hAnsi="Times New Roman"/>
          <w:i/>
        </w:rPr>
        <w:t xml:space="preserve"> =</w:t>
      </w:r>
      <w:r w:rsidR="004C7F9E" w:rsidRPr="00994DC2">
        <w:rPr>
          <w:rFonts w:ascii="Times New Roman" w:hAnsi="Times New Roman"/>
          <w:i/>
        </w:rPr>
        <w:t xml:space="preserve"> </w:t>
      </w:r>
      <w:r w:rsidR="00C02E80">
        <w:rPr>
          <w:rFonts w:ascii="Times New Roman" w:hAnsi="Times New Roman"/>
          <w:i/>
        </w:rPr>
        <w:t xml:space="preserve"> </w:t>
      </w:r>
      <w:r w:rsidR="007109D3">
        <w:rPr>
          <w:rFonts w:ascii="Times New Roman" w:hAnsi="Times New Roman"/>
          <w:i/>
        </w:rPr>
        <w:t xml:space="preserve"> </w:t>
      </w:r>
      <w:r w:rsidR="004C7F9E" w:rsidRPr="00994DC2">
        <w:rPr>
          <w:rFonts w:ascii="Times New Roman" w:hAnsi="Times New Roman"/>
          <w:i/>
        </w:rPr>
        <w:t>RMBS</w:t>
      </w:r>
      <w:r w:rsidR="0093722D">
        <w:rPr>
          <w:rFonts w:ascii="Times New Roman" w:hAnsi="Times New Roman"/>
          <w:i/>
          <w:vertAlign w:val="superscript"/>
        </w:rPr>
        <w:t>#</w:t>
      </w:r>
      <w:r w:rsidR="004C7F9E" w:rsidRPr="00994DC2">
        <w:rPr>
          <w:rFonts w:ascii="Times New Roman" w:hAnsi="Times New Roman"/>
          <w:i/>
          <w:vertAlign w:val="subscript"/>
        </w:rPr>
        <w:t>t-1</w:t>
      </w:r>
      <w:r w:rsidR="004C7F9E" w:rsidRPr="00994DC2">
        <w:rPr>
          <w:rFonts w:ascii="Times New Roman" w:hAnsi="Times New Roman"/>
          <w:i/>
        </w:rPr>
        <w:t xml:space="preserve">   + </w:t>
      </w:r>
      <w:r w:rsidR="00D61ECF" w:rsidRPr="004313D9">
        <w:rPr>
          <w:rFonts w:ascii="Symbol" w:hAnsi="Symbol"/>
          <w:i/>
          <w:sz w:val="24"/>
          <w:szCs w:val="24"/>
        </w:rPr>
        <w:t></w:t>
      </w:r>
      <w:r w:rsidR="00D61ECF" w:rsidRPr="004313D9">
        <w:rPr>
          <w:rFonts w:ascii="Symbol" w:hAnsi="Symbol"/>
          <w:i/>
          <w:sz w:val="24"/>
          <w:szCs w:val="24"/>
        </w:rPr>
        <w:t></w:t>
      </w:r>
      <w:r w:rsidR="00D61ECF" w:rsidRPr="004313D9">
        <w:rPr>
          <w:rFonts w:ascii="Times New Roman" w:hAnsi="Times New Roman"/>
          <w:i/>
          <w:sz w:val="24"/>
          <w:szCs w:val="24"/>
          <w:vertAlign w:val="subscript"/>
        </w:rPr>
        <w:t>t-1</w:t>
      </w:r>
      <w:r w:rsidR="0038073E">
        <w:rPr>
          <w:rFonts w:ascii="Times New Roman" w:hAnsi="Times New Roman"/>
          <w:i/>
          <w:sz w:val="24"/>
          <w:szCs w:val="24"/>
        </w:rPr>
        <w:t>.</w:t>
      </w:r>
      <w:r w:rsidR="00D61ECF">
        <w:rPr>
          <w:rFonts w:ascii="Times New Roman" w:hAnsi="Times New Roman"/>
          <w:sz w:val="24"/>
          <w:szCs w:val="24"/>
        </w:rPr>
        <w:t xml:space="preserve">  </w:t>
      </w:r>
      <w:r w:rsidR="00C02E80">
        <w:rPr>
          <w:rFonts w:ascii="Times New Roman" w:hAnsi="Times New Roman"/>
          <w:sz w:val="24"/>
          <w:szCs w:val="24"/>
        </w:rPr>
        <w:t xml:space="preserve">                                 (</w:t>
      </w:r>
      <w:r w:rsidR="007C3850">
        <w:rPr>
          <w:rFonts w:ascii="Times New Roman" w:hAnsi="Times New Roman"/>
          <w:sz w:val="24"/>
          <w:szCs w:val="24"/>
        </w:rPr>
        <w:t>3</w:t>
      </w:r>
      <w:r w:rsidR="00C02E80">
        <w:rPr>
          <w:rFonts w:ascii="Times New Roman" w:hAnsi="Times New Roman"/>
          <w:sz w:val="24"/>
          <w:szCs w:val="24"/>
        </w:rPr>
        <w:t xml:space="preserve">)        </w:t>
      </w:r>
    </w:p>
    <w:p w:rsidR="00D101CE" w:rsidRDefault="00BE2F9E" w:rsidP="00994DC2">
      <w:pPr>
        <w:spacing w:line="360" w:lineRule="auto"/>
        <w:jc w:val="both"/>
        <w:rPr>
          <w:rFonts w:ascii="Times New Roman" w:hAnsi="Times New Roman"/>
        </w:rPr>
      </w:pPr>
      <w:r>
        <w:rPr>
          <w:rFonts w:ascii="Times New Roman" w:hAnsi="Times New Roman"/>
          <w:sz w:val="24"/>
          <w:szCs w:val="24"/>
        </w:rPr>
        <w:t>H</w:t>
      </w:r>
      <w:r w:rsidR="00D61ECF">
        <w:rPr>
          <w:rFonts w:ascii="Times New Roman" w:hAnsi="Times New Roman"/>
          <w:sz w:val="24"/>
          <w:szCs w:val="24"/>
        </w:rPr>
        <w:t>ere</w:t>
      </w:r>
      <w:r w:rsidR="0093722D">
        <w:rPr>
          <w:rFonts w:ascii="Times New Roman" w:hAnsi="Times New Roman"/>
          <w:sz w:val="24"/>
          <w:szCs w:val="24"/>
        </w:rPr>
        <w:t>,</w:t>
      </w:r>
      <w:r w:rsidR="00D61ECF">
        <w:rPr>
          <w:rFonts w:ascii="Times New Roman" w:hAnsi="Times New Roman"/>
          <w:sz w:val="24"/>
          <w:szCs w:val="24"/>
        </w:rPr>
        <w:t xml:space="preserve"> </w:t>
      </w:r>
      <w:r w:rsidR="00D61ECF" w:rsidRPr="00A064BC">
        <w:rPr>
          <w:rFonts w:ascii="Symbol" w:hAnsi="Symbol"/>
          <w:sz w:val="24"/>
          <w:szCs w:val="24"/>
        </w:rPr>
        <w:t></w:t>
      </w:r>
      <w:r w:rsidR="00D61ECF">
        <w:rPr>
          <w:rFonts w:ascii="Times New Roman" w:hAnsi="Times New Roman"/>
          <w:sz w:val="24"/>
          <w:szCs w:val="24"/>
          <w:vertAlign w:val="subscript"/>
        </w:rPr>
        <w:t>t-</w:t>
      </w:r>
      <w:proofErr w:type="gramStart"/>
      <w:r w:rsidR="00D61ECF">
        <w:rPr>
          <w:rFonts w:ascii="Times New Roman" w:hAnsi="Times New Roman"/>
          <w:sz w:val="24"/>
          <w:szCs w:val="24"/>
          <w:vertAlign w:val="subscript"/>
        </w:rPr>
        <w:t>1</w:t>
      </w:r>
      <w:r w:rsidR="00D61ECF">
        <w:rPr>
          <w:rFonts w:ascii="Times New Roman" w:hAnsi="Times New Roman"/>
          <w:sz w:val="24"/>
          <w:szCs w:val="24"/>
        </w:rPr>
        <w:t xml:space="preserve">  =</w:t>
      </w:r>
      <w:proofErr w:type="gramEnd"/>
      <w:r w:rsidR="00D61ECF">
        <w:rPr>
          <w:rFonts w:ascii="Times New Roman" w:hAnsi="Times New Roman"/>
          <w:sz w:val="24"/>
          <w:szCs w:val="24"/>
        </w:rPr>
        <w:t xml:space="preserve">  </w:t>
      </w:r>
      <w:r w:rsidR="004C7F9E" w:rsidRPr="00994DC2">
        <w:rPr>
          <w:rFonts w:ascii="Times New Roman" w:hAnsi="Times New Roman"/>
          <w:i/>
        </w:rPr>
        <w:t>CapSave</w:t>
      </w:r>
      <w:r w:rsidR="004C7F9E" w:rsidRPr="00994DC2">
        <w:rPr>
          <w:rFonts w:ascii="Times New Roman" w:hAnsi="Times New Roman"/>
          <w:i/>
          <w:vertAlign w:val="subscript"/>
        </w:rPr>
        <w:t>t-1</w:t>
      </w:r>
      <w:r w:rsidR="004C7F9E" w:rsidRPr="00994DC2">
        <w:rPr>
          <w:rFonts w:ascii="Times New Roman" w:hAnsi="Times New Roman"/>
          <w:i/>
        </w:rPr>
        <w:t xml:space="preserve">   + </w:t>
      </w:r>
      <w:r w:rsidR="004D12C7">
        <w:rPr>
          <w:rFonts w:ascii="Times New Roman" w:hAnsi="Times New Roman"/>
          <w:i/>
        </w:rPr>
        <w:t>CDS</w:t>
      </w:r>
      <w:r w:rsidR="004C7F9E" w:rsidRPr="00994DC2">
        <w:rPr>
          <w:rFonts w:ascii="Times New Roman" w:hAnsi="Times New Roman"/>
          <w:i/>
        </w:rPr>
        <w:t xml:space="preserve"> Basis Income</w:t>
      </w:r>
      <w:r w:rsidR="004C7F9E" w:rsidRPr="00994DC2">
        <w:rPr>
          <w:rFonts w:ascii="Times New Roman" w:hAnsi="Times New Roman"/>
          <w:i/>
          <w:vertAlign w:val="subscript"/>
        </w:rPr>
        <w:t>t-1</w:t>
      </w:r>
      <w:r>
        <w:rPr>
          <w:rFonts w:ascii="Times New Roman" w:hAnsi="Times New Roman"/>
          <w:i/>
          <w:vertAlign w:val="subscript"/>
        </w:rPr>
        <w:t xml:space="preserve">  </w:t>
      </w:r>
      <w:r>
        <w:rPr>
          <w:rFonts w:ascii="Times New Roman" w:hAnsi="Times New Roman"/>
        </w:rPr>
        <w:t>where the first term</w:t>
      </w:r>
      <w:r w:rsidR="004C7F9E" w:rsidRPr="00994DC2">
        <w:rPr>
          <w:rFonts w:ascii="Times New Roman" w:hAnsi="Times New Roman"/>
          <w:i/>
          <w:vertAlign w:val="subscript"/>
        </w:rPr>
        <w:t xml:space="preserve">   </w:t>
      </w:r>
      <w:r w:rsidR="006B2565">
        <w:rPr>
          <w:rFonts w:ascii="Times New Roman" w:hAnsi="Times New Roman"/>
        </w:rPr>
        <w:t xml:space="preserve">is the </w:t>
      </w:r>
      <w:r w:rsidR="00F975E6">
        <w:rPr>
          <w:rFonts w:ascii="Times New Roman" w:hAnsi="Times New Roman"/>
        </w:rPr>
        <w:t xml:space="preserve">capital </w:t>
      </w:r>
      <w:r w:rsidR="007109D3">
        <w:rPr>
          <w:rFonts w:ascii="Times New Roman" w:hAnsi="Times New Roman"/>
        </w:rPr>
        <w:t xml:space="preserve">savings </w:t>
      </w:r>
      <w:r w:rsidR="00F975E6">
        <w:rPr>
          <w:rFonts w:ascii="Times New Roman" w:hAnsi="Times New Roman"/>
        </w:rPr>
        <w:t xml:space="preserve">over all tranches </w:t>
      </w:r>
      <w:r w:rsidR="00F975E6">
        <w:rPr>
          <w:rFonts w:ascii="Symbol" w:hAnsi="Symbol"/>
        </w:rPr>
        <w:t></w:t>
      </w:r>
      <m:oMath>
        <m:nary>
          <m:naryPr>
            <m:chr m:val="∑"/>
            <m:limLoc m:val="undOvr"/>
            <m:supHide m:val="on"/>
            <m:ctrlPr>
              <w:rPr>
                <w:rFonts w:ascii="Cambria Math" w:hAnsi="Times New Roman"/>
                <w:i/>
              </w:rPr>
            </m:ctrlPr>
          </m:naryPr>
          <m:sub>
            <m:r>
              <w:rPr>
                <w:rFonts w:ascii="Cambria Math" w:hAnsi="Cambria Math"/>
              </w:rPr>
              <m:t>i</m:t>
            </m:r>
          </m:sub>
          <m:sup/>
          <m:e>
            <m:r>
              <w:rPr>
                <w:rFonts w:ascii="Cambria Math" w:hAnsi="Cambria Math"/>
              </w:rPr>
              <m:t>ε</m:t>
            </m:r>
            <m:r>
              <w:rPr>
                <w:rFonts w:ascii="Cambria Math" w:hAnsi="Times New Roman"/>
              </w:rPr>
              <m:t>(</m:t>
            </m:r>
            <m:sSub>
              <m:sSubPr>
                <m:ctrlPr>
                  <w:rPr>
                    <w:rFonts w:ascii="Cambria Math" w:hAnsi="Times New Roman"/>
                    <w:i/>
                  </w:rPr>
                </m:ctrlPr>
              </m:sSubPr>
              <m:e>
                <m:r>
                  <w:rPr>
                    <w:rFonts w:ascii="Cambria Math" w:hAnsi="Cambria Math"/>
                  </w:rPr>
                  <m:t>θ</m:t>
                </m:r>
              </m:e>
              <m:sub>
                <m:r>
                  <w:rPr>
                    <w:rFonts w:ascii="Cambria Math" w:hAnsi="Cambria Math"/>
                  </w:rPr>
                  <m:t>i</m:t>
                </m:r>
              </m:sub>
            </m:sSub>
          </m:e>
        </m:nary>
        <m:r>
          <w:rPr>
            <w:rFonts w:ascii="Times New Roman" w:hAnsi="Times New Roman"/>
          </w:rPr>
          <m:t>-</m:t>
        </m:r>
        <m:r>
          <w:rPr>
            <w:rFonts w:ascii="Cambria Math" w:hAnsi="Times New Roman"/>
          </w:rPr>
          <m:t xml:space="preserve"> </m:t>
        </m:r>
        <m:sSubSup>
          <m:sSubSupPr>
            <m:ctrlPr>
              <w:rPr>
                <w:rFonts w:ascii="Cambria Math" w:hAnsi="Times New Roman"/>
                <w:i/>
              </w:rPr>
            </m:ctrlPr>
          </m:sSubSupPr>
          <m:e>
            <m:r>
              <w:rPr>
                <w:rFonts w:ascii="Cambria Math" w:hAnsi="Cambria Math"/>
              </w:rPr>
              <m:t>θ</m:t>
            </m:r>
          </m:e>
          <m:sub>
            <m:r>
              <w:rPr>
                <w:rFonts w:ascii="Cambria Math" w:hAnsi="Cambria Math"/>
              </w:rPr>
              <m:t>i</m:t>
            </m:r>
          </m:sub>
          <m:sup>
            <m:r>
              <w:rPr>
                <w:rFonts w:ascii="Cambria Math" w:hAnsi="Cambria Math"/>
              </w:rPr>
              <m:t>CRM</m:t>
            </m:r>
            <m:r>
              <w:rPr>
                <w:rFonts w:ascii="Cambria Math" w:hAnsi="Times New Roman"/>
              </w:rPr>
              <m:t xml:space="preserve"> </m:t>
            </m:r>
          </m:sup>
        </m:sSubSup>
        <m:r>
          <w:rPr>
            <w:rFonts w:ascii="Cambria Math" w:hAnsi="Times New Roman"/>
          </w:rPr>
          <m:t xml:space="preserve">) </m:t>
        </m:r>
        <m:sSub>
          <m:sSubPr>
            <m:ctrlPr>
              <w:rPr>
                <w:rFonts w:ascii="Cambria Math" w:hAnsi="Times New Roman"/>
                <w:i/>
              </w:rPr>
            </m:ctrlPr>
          </m:sSubPr>
          <m:e>
            <m:r>
              <w:rPr>
                <w:rFonts w:ascii="Cambria Math" w:hAnsi="Cambria Math"/>
              </w:rPr>
              <m:t>X</m:t>
            </m:r>
          </m:e>
          <m:sub>
            <m:r>
              <w:rPr>
                <w:rFonts w:ascii="Cambria Math" w:hAnsi="Cambria Math"/>
              </w:rPr>
              <m:t>i</m:t>
            </m:r>
          </m:sub>
        </m:sSub>
      </m:oMath>
      <w:r w:rsidR="00825282">
        <w:rPr>
          <w:rFonts w:ascii="Times New Roman" w:hAnsi="Times New Roman"/>
          <w:vertAlign w:val="subscript"/>
        </w:rPr>
        <w:t>t-1</w:t>
      </w:r>
      <w:r w:rsidR="00C36DB0">
        <w:rPr>
          <w:rFonts w:ascii="Symbol" w:hAnsi="Symbol"/>
        </w:rPr>
        <w:t></w:t>
      </w:r>
      <w:r w:rsidR="00C36DB0">
        <w:rPr>
          <w:rFonts w:ascii="Symbol" w:hAnsi="Symbol"/>
        </w:rPr>
        <w:t></w:t>
      </w:r>
      <w:r>
        <w:rPr>
          <w:rFonts w:ascii="Symbol" w:hAnsi="Symbol"/>
        </w:rPr>
        <w:t></w:t>
      </w:r>
      <w:r>
        <w:rPr>
          <w:rFonts w:ascii="Times New Roman" w:hAnsi="Times New Roman"/>
        </w:rPr>
        <w:t>and likewise for</w:t>
      </w:r>
      <w:r w:rsidR="00694076">
        <w:rPr>
          <w:rFonts w:ascii="Times New Roman" w:hAnsi="Times New Roman"/>
        </w:rPr>
        <w:t xml:space="preserve"> CDS </w:t>
      </w:r>
      <w:r>
        <w:rPr>
          <w:rFonts w:ascii="Times New Roman" w:hAnsi="Times New Roman"/>
        </w:rPr>
        <w:t xml:space="preserve">basis income. </w:t>
      </w:r>
      <w:r w:rsidR="00B97468">
        <w:rPr>
          <w:rFonts w:ascii="Times New Roman" w:hAnsi="Times New Roman"/>
        </w:rPr>
        <w:t xml:space="preserve">Note, </w:t>
      </w:r>
      <w:r w:rsidR="003060E9">
        <w:rPr>
          <w:rFonts w:ascii="Times New Roman" w:hAnsi="Times New Roman"/>
        </w:rPr>
        <w:t xml:space="preserve">the </w:t>
      </w:r>
      <w:r w:rsidR="000B5C96">
        <w:rPr>
          <w:rFonts w:ascii="Times New Roman" w:hAnsi="Times New Roman"/>
        </w:rPr>
        <w:t xml:space="preserve">term </w:t>
      </w:r>
      <w:proofErr w:type="spellStart"/>
      <w:r w:rsidR="00B97468" w:rsidRPr="003060E9">
        <w:rPr>
          <w:rFonts w:ascii="Times New Roman" w:hAnsi="Times New Roman"/>
          <w:i/>
        </w:rPr>
        <w:t>RMBS</w:t>
      </w:r>
      <w:r w:rsidR="003060E9" w:rsidRPr="003060E9">
        <w:rPr>
          <w:rFonts w:ascii="Times New Roman" w:hAnsi="Times New Roman"/>
          <w:i/>
          <w:vertAlign w:val="subscript"/>
        </w:rPr>
        <w:t>t</w:t>
      </w:r>
      <w:proofErr w:type="spellEnd"/>
      <w:r w:rsidR="003060E9" w:rsidRPr="003060E9">
        <w:rPr>
          <w:rFonts w:ascii="Times New Roman" w:hAnsi="Times New Roman"/>
          <w:i/>
          <w:vertAlign w:val="subscript"/>
        </w:rPr>
        <w:t xml:space="preserve"> </w:t>
      </w:r>
      <w:r w:rsidR="00B97468">
        <w:rPr>
          <w:rFonts w:ascii="Times New Roman" w:hAnsi="Times New Roman"/>
        </w:rPr>
        <w:t xml:space="preserve"> </w:t>
      </w:r>
      <w:r w:rsidR="003060E9">
        <w:rPr>
          <w:rFonts w:ascii="Times New Roman" w:hAnsi="Times New Roman"/>
        </w:rPr>
        <w:t>in equation (</w:t>
      </w:r>
      <w:r w:rsidR="007C3850">
        <w:rPr>
          <w:rFonts w:ascii="Times New Roman" w:hAnsi="Times New Roman"/>
        </w:rPr>
        <w:t>3</w:t>
      </w:r>
      <w:r w:rsidR="003060E9">
        <w:rPr>
          <w:rFonts w:ascii="Times New Roman" w:hAnsi="Times New Roman"/>
        </w:rPr>
        <w:t xml:space="preserve">) </w:t>
      </w:r>
      <w:r w:rsidR="00B97468">
        <w:rPr>
          <w:rFonts w:ascii="Times New Roman" w:hAnsi="Times New Roman"/>
        </w:rPr>
        <w:t xml:space="preserve"> include both RMBS which form part of a bank’s synthetic securitization (as in Figure </w:t>
      </w:r>
      <w:r w:rsidR="007C3850">
        <w:rPr>
          <w:rFonts w:ascii="Times New Roman" w:hAnsi="Times New Roman"/>
        </w:rPr>
        <w:t>4</w:t>
      </w:r>
      <w:r w:rsidR="00B97468">
        <w:rPr>
          <w:rFonts w:ascii="Times New Roman" w:hAnsi="Times New Roman"/>
        </w:rPr>
        <w:t>) as well as CDOs issued by other financial intermediaries.</w:t>
      </w:r>
      <w:r w:rsidR="0093722D">
        <w:rPr>
          <w:rFonts w:ascii="Times New Roman" w:hAnsi="Times New Roman"/>
        </w:rPr>
        <w:t xml:space="preserve"> </w:t>
      </w:r>
      <w:r w:rsidR="00FD5B7D">
        <w:rPr>
          <w:rFonts w:ascii="Times New Roman" w:hAnsi="Times New Roman"/>
        </w:rPr>
        <w:t xml:space="preserve"> A quarter by quarter revaluation of banks’ RMBS structured assets is done and the </w:t>
      </w:r>
      <w:r w:rsidR="0093722D">
        <w:rPr>
          <w:rFonts w:ascii="Times New Roman" w:hAnsi="Times New Roman"/>
        </w:rPr>
        <w:t xml:space="preserve"> </w:t>
      </w:r>
      <w:r w:rsidR="00694076">
        <w:rPr>
          <w:rFonts w:ascii="Times New Roman" w:hAnsi="Times New Roman"/>
        </w:rPr>
        <w:t>#</w:t>
      </w:r>
      <w:r w:rsidR="0093722D">
        <w:rPr>
          <w:rFonts w:ascii="Times New Roman" w:hAnsi="Times New Roman"/>
        </w:rPr>
        <w:t xml:space="preserve"> term in </w:t>
      </w:r>
      <w:r w:rsidR="0093722D" w:rsidRPr="00994DC2">
        <w:rPr>
          <w:rFonts w:ascii="Times New Roman" w:hAnsi="Times New Roman"/>
          <w:i/>
        </w:rPr>
        <w:t>RMBS</w:t>
      </w:r>
      <w:r w:rsidR="0093722D">
        <w:rPr>
          <w:rFonts w:ascii="Times New Roman" w:hAnsi="Times New Roman"/>
          <w:i/>
          <w:vertAlign w:val="superscript"/>
        </w:rPr>
        <w:t>#</w:t>
      </w:r>
      <w:r w:rsidR="0093722D" w:rsidRPr="00994DC2">
        <w:rPr>
          <w:rFonts w:ascii="Times New Roman" w:hAnsi="Times New Roman"/>
          <w:i/>
          <w:vertAlign w:val="subscript"/>
        </w:rPr>
        <w:t>t-1</w:t>
      </w:r>
      <w:r w:rsidR="0093722D" w:rsidRPr="00994DC2">
        <w:rPr>
          <w:rFonts w:ascii="Times New Roman" w:hAnsi="Times New Roman"/>
          <w:i/>
        </w:rPr>
        <w:t xml:space="preserve"> </w:t>
      </w:r>
      <w:r w:rsidR="0093722D">
        <w:rPr>
          <w:rFonts w:ascii="Times New Roman" w:hAnsi="Times New Roman"/>
        </w:rPr>
        <w:t xml:space="preserve">signifies marking to market of </w:t>
      </w:r>
      <w:r w:rsidR="00FD5B7D">
        <w:rPr>
          <w:rFonts w:ascii="Times New Roman" w:hAnsi="Times New Roman"/>
        </w:rPr>
        <w:t>t</w:t>
      </w:r>
      <w:r w:rsidR="0093722D">
        <w:rPr>
          <w:rFonts w:ascii="Times New Roman" w:hAnsi="Times New Roman"/>
        </w:rPr>
        <w:t>ranches</w:t>
      </w:r>
      <w:r w:rsidR="00FD5B7D">
        <w:rPr>
          <w:rFonts w:ascii="Times New Roman" w:hAnsi="Times New Roman"/>
        </w:rPr>
        <w:t xml:space="preserve"> using the ABX-HE prices for the relevant vintage and tra</w:t>
      </w:r>
      <w:r w:rsidR="0038073E">
        <w:rPr>
          <w:rFonts w:ascii="Times New Roman" w:hAnsi="Times New Roman"/>
        </w:rPr>
        <w:t>n</w:t>
      </w:r>
      <w:r w:rsidR="00FD5B7D">
        <w:rPr>
          <w:rFonts w:ascii="Times New Roman" w:hAnsi="Times New Roman"/>
        </w:rPr>
        <w:t>che</w:t>
      </w:r>
      <w:r w:rsidR="0093722D">
        <w:rPr>
          <w:rFonts w:ascii="Times New Roman" w:hAnsi="Times New Roman"/>
        </w:rPr>
        <w:t>.</w:t>
      </w:r>
      <w:r w:rsidR="00AC242D">
        <w:rPr>
          <w:rStyle w:val="FootnoteReference"/>
          <w:rFonts w:ascii="Times New Roman" w:hAnsi="Times New Roman"/>
        </w:rPr>
        <w:footnoteReference w:id="17"/>
      </w:r>
      <w:r w:rsidR="0093722D">
        <w:rPr>
          <w:rFonts w:ascii="Times New Roman" w:hAnsi="Times New Roman"/>
        </w:rPr>
        <w:t xml:space="preserve"> </w:t>
      </w:r>
      <w:r w:rsidR="00C116C8">
        <w:rPr>
          <w:rFonts w:ascii="Times New Roman" w:hAnsi="Times New Roman"/>
        </w:rPr>
        <w:t xml:space="preserve"> </w:t>
      </w:r>
      <w:r w:rsidR="00D101CE">
        <w:rPr>
          <w:rFonts w:ascii="Times New Roman" w:hAnsi="Times New Roman"/>
        </w:rPr>
        <w:t xml:space="preserve">If </w:t>
      </w:r>
      <w:r w:rsidR="00D101CE" w:rsidRPr="005E3FF7">
        <w:t>(</w:t>
      </w:r>
      <w:proofErr w:type="spellStart"/>
      <w:r w:rsidR="00D101CE" w:rsidRPr="005E3FF7">
        <w:t>λ</w:t>
      </w:r>
      <w:r w:rsidR="00D101CE" w:rsidRPr="005E3FF7">
        <w:rPr>
          <w:vertAlign w:val="subscript"/>
        </w:rPr>
        <w:t>t</w:t>
      </w:r>
      <w:proofErr w:type="spellEnd"/>
      <w:r w:rsidR="00D101CE" w:rsidRPr="005E3FF7">
        <w:t xml:space="preserve"> </w:t>
      </w:r>
      <w:proofErr w:type="gramStart"/>
      <w:r w:rsidR="00D101CE" w:rsidRPr="005E3FF7">
        <w:t xml:space="preserve">– </w:t>
      </w:r>
      <w:r w:rsidR="00D101CE">
        <w:t xml:space="preserve"> (</w:t>
      </w:r>
      <w:proofErr w:type="spellStart"/>
      <w:proofErr w:type="gramEnd"/>
      <w:r w:rsidR="00D101CE" w:rsidRPr="005E3FF7">
        <w:t>y</w:t>
      </w:r>
      <w:r w:rsidR="00D101CE" w:rsidRPr="005E3FF7">
        <w:rPr>
          <w:vertAlign w:val="subscript"/>
        </w:rPr>
        <w:t>it</w:t>
      </w:r>
      <w:proofErr w:type="spellEnd"/>
      <w:r w:rsidR="00D101CE" w:rsidRPr="005E3FF7">
        <w:rPr>
          <w:vertAlign w:val="subscript"/>
        </w:rPr>
        <w:t xml:space="preserve"> </w:t>
      </w:r>
      <w:r w:rsidR="00D101CE" w:rsidRPr="005E3FF7">
        <w:t xml:space="preserve">- </w:t>
      </w:r>
      <w:proofErr w:type="spellStart"/>
      <w:r w:rsidR="00D101CE" w:rsidRPr="005E3FF7">
        <w:t>r</w:t>
      </w:r>
      <w:r w:rsidR="00D101CE" w:rsidRPr="005E3FF7">
        <w:rPr>
          <w:vertAlign w:val="subscript"/>
        </w:rPr>
        <w:t>t</w:t>
      </w:r>
      <w:proofErr w:type="spellEnd"/>
      <w:r w:rsidR="00D101CE" w:rsidRPr="005E3FF7">
        <w:t>)</w:t>
      </w:r>
      <w:r w:rsidR="00D101CE">
        <w:t>) &lt;0, w</w:t>
      </w:r>
      <w:r w:rsidR="00797600">
        <w:rPr>
          <w:rFonts w:ascii="Times New Roman" w:hAnsi="Times New Roman"/>
        </w:rPr>
        <w:t>e will co</w:t>
      </w:r>
      <w:r w:rsidR="007354DD">
        <w:rPr>
          <w:rFonts w:ascii="Times New Roman" w:hAnsi="Times New Roman"/>
        </w:rPr>
        <w:t xml:space="preserve">nsider a leveraged reinvestment </w:t>
      </w:r>
      <w:r w:rsidR="00A76934">
        <w:rPr>
          <w:rFonts w:ascii="Times New Roman" w:hAnsi="Times New Roman"/>
        </w:rPr>
        <w:t xml:space="preserve">strategy </w:t>
      </w:r>
      <w:r w:rsidR="00797600">
        <w:rPr>
          <w:rFonts w:ascii="Times New Roman" w:hAnsi="Times New Roman"/>
        </w:rPr>
        <w:t>of the t-1 CDS carry trade profits</w:t>
      </w:r>
      <w:r w:rsidR="00A76934">
        <w:rPr>
          <w:rFonts w:ascii="Times New Roman" w:hAnsi="Times New Roman"/>
        </w:rPr>
        <w:t xml:space="preserve"> </w:t>
      </w:r>
      <w:r w:rsidR="00D101CE">
        <w:rPr>
          <w:rFonts w:ascii="Times New Roman" w:hAnsi="Times New Roman"/>
        </w:rPr>
        <w:t xml:space="preserve">(only if  latter </w:t>
      </w:r>
      <w:r w:rsidR="00FD5B7D">
        <w:rPr>
          <w:rFonts w:ascii="Times New Roman" w:hAnsi="Times New Roman"/>
        </w:rPr>
        <w:t>was</w:t>
      </w:r>
      <w:r w:rsidR="00D101CE">
        <w:rPr>
          <w:rFonts w:ascii="Times New Roman" w:hAnsi="Times New Roman"/>
        </w:rPr>
        <w:t xml:space="preserve"> positive at t-1) </w:t>
      </w:r>
      <w:r w:rsidR="00A76934">
        <w:rPr>
          <w:rFonts w:ascii="Times New Roman" w:hAnsi="Times New Roman"/>
        </w:rPr>
        <w:t>that will</w:t>
      </w:r>
      <w:r w:rsidR="00797600">
        <w:rPr>
          <w:rFonts w:ascii="Times New Roman" w:hAnsi="Times New Roman"/>
        </w:rPr>
        <w:t xml:space="preserve"> fulfil a self-financing strategy </w:t>
      </w:r>
      <w:r w:rsidR="007354DD">
        <w:rPr>
          <w:rFonts w:ascii="Times New Roman" w:hAnsi="Times New Roman"/>
        </w:rPr>
        <w:t>to</w:t>
      </w:r>
      <w:r w:rsidR="00797600">
        <w:rPr>
          <w:rFonts w:ascii="Times New Roman" w:hAnsi="Times New Roman"/>
        </w:rPr>
        <w:t xml:space="preserve"> lock in the risk free </w:t>
      </w:r>
      <w:r w:rsidR="007354DD">
        <w:rPr>
          <w:rFonts w:ascii="Times New Roman" w:hAnsi="Times New Roman"/>
        </w:rPr>
        <w:t>“carry”</w:t>
      </w:r>
      <w:r w:rsidR="00D101CE">
        <w:rPr>
          <w:rFonts w:ascii="Times New Roman" w:hAnsi="Times New Roman"/>
        </w:rPr>
        <w:t xml:space="preserve"> at t </w:t>
      </w:r>
      <w:r w:rsidR="00797600">
        <w:rPr>
          <w:rFonts w:ascii="Times New Roman" w:hAnsi="Times New Roman"/>
        </w:rPr>
        <w:t xml:space="preserve">. </w:t>
      </w:r>
      <w:r w:rsidR="00A76934">
        <w:rPr>
          <w:rFonts w:ascii="Times New Roman" w:hAnsi="Times New Roman"/>
        </w:rPr>
        <w:t xml:space="preserve"> The maximum amount to borrow</w:t>
      </w:r>
      <w:r w:rsidR="00D101CE">
        <w:rPr>
          <w:rFonts w:ascii="Times New Roman" w:hAnsi="Times New Roman"/>
        </w:rPr>
        <w:t xml:space="preserve"> or leverage up </w:t>
      </w:r>
      <w:r w:rsidR="00E40471">
        <w:rPr>
          <w:rFonts w:ascii="Times New Roman" w:hAnsi="Times New Roman"/>
        </w:rPr>
        <w:t xml:space="preserve">so that the borrowing and regulatory capital costs are </w:t>
      </w:r>
      <w:r w:rsidR="00FD5B7D">
        <w:rPr>
          <w:rFonts w:ascii="Times New Roman" w:hAnsi="Times New Roman"/>
        </w:rPr>
        <w:t>self-</w:t>
      </w:r>
      <w:r w:rsidR="00E40471">
        <w:rPr>
          <w:rFonts w:ascii="Times New Roman" w:hAnsi="Times New Roman"/>
        </w:rPr>
        <w:t>financed is</w:t>
      </w:r>
      <w:r w:rsidR="00863202">
        <w:rPr>
          <w:rFonts w:ascii="Times New Roman" w:hAnsi="Times New Roman"/>
        </w:rPr>
        <w:t xml:space="preserve"> given by</w:t>
      </w:r>
    </w:p>
    <w:p w:rsidR="00D101CE" w:rsidRDefault="00863202" w:rsidP="00994DC2">
      <w:pPr>
        <w:spacing w:line="360" w:lineRule="auto"/>
        <w:jc w:val="both"/>
        <w:rPr>
          <w:rFonts w:ascii="Times New Roman" w:hAnsi="Times New Roman"/>
        </w:rPr>
      </w:pPr>
      <w:r>
        <w:rPr>
          <w:rFonts w:ascii="Times New Roman" w:hAnsi="Times New Roman"/>
        </w:rPr>
        <w:t xml:space="preserve"> </w:t>
      </w:r>
      <w:r w:rsidR="00D101CE">
        <w:rPr>
          <w:rFonts w:ascii="Times New Roman" w:hAnsi="Times New Roman"/>
        </w:rPr>
        <w:t xml:space="preserve">                        </w:t>
      </w:r>
      <w:r w:rsidR="007354DD">
        <w:rPr>
          <w:rFonts w:ascii="Times New Roman" w:hAnsi="Times New Roman"/>
        </w:rPr>
        <w:t xml:space="preserve"> </w:t>
      </w:r>
      <w:proofErr w:type="spellStart"/>
      <w:r w:rsidR="0038073E" w:rsidRPr="0038073E">
        <w:rPr>
          <w:rFonts w:ascii="Times New Roman" w:hAnsi="Times New Roman"/>
          <w:i/>
        </w:rPr>
        <w:t>Lev</w:t>
      </w:r>
      <w:r w:rsidR="00D101CE" w:rsidRPr="00D101CE">
        <w:rPr>
          <w:rFonts w:ascii="Times New Roman" w:hAnsi="Times New Roman"/>
          <w:i/>
          <w:vertAlign w:val="subscript"/>
        </w:rPr>
        <w:t>t</w:t>
      </w:r>
      <w:proofErr w:type="spellEnd"/>
      <w:r w:rsidR="00D101CE" w:rsidRPr="00D101CE">
        <w:rPr>
          <w:rFonts w:ascii="Times New Roman" w:hAnsi="Times New Roman"/>
          <w:i/>
        </w:rPr>
        <w:t xml:space="preserve"> </w:t>
      </w:r>
      <w:r w:rsidR="00D101CE" w:rsidRPr="00D101CE">
        <w:rPr>
          <w:rFonts w:ascii="Times New Roman" w:hAnsi="Times New Roman"/>
          <w:i/>
          <w:vertAlign w:val="superscript"/>
        </w:rPr>
        <w:t>max</w:t>
      </w:r>
      <w:r w:rsidR="00D101CE">
        <w:rPr>
          <w:rFonts w:ascii="Times New Roman" w:hAnsi="Times New Roman"/>
        </w:rPr>
        <w:t xml:space="preserve">   </w:t>
      </w:r>
      <w:proofErr w:type="gramStart"/>
      <w:r w:rsidR="00D101CE">
        <w:rPr>
          <w:rFonts w:ascii="Times New Roman" w:hAnsi="Times New Roman"/>
        </w:rPr>
        <w:t xml:space="preserve">=  </w:t>
      </w:r>
      <w:r>
        <w:rPr>
          <w:rFonts w:ascii="Times New Roman" w:hAnsi="Times New Roman"/>
        </w:rPr>
        <w:t>(</w:t>
      </w:r>
      <w:proofErr w:type="gramEnd"/>
      <w:r w:rsidRPr="00863202">
        <w:rPr>
          <w:rFonts w:ascii="Times New Roman" w:hAnsi="Times New Roman"/>
          <w:i/>
        </w:rPr>
        <w:t>CDS</w:t>
      </w:r>
      <w:r w:rsidRPr="00994DC2">
        <w:rPr>
          <w:rFonts w:ascii="Times New Roman" w:hAnsi="Times New Roman"/>
          <w:i/>
        </w:rPr>
        <w:t xml:space="preserve"> Basis Income</w:t>
      </w:r>
      <w:r w:rsidRPr="00994DC2">
        <w:rPr>
          <w:rFonts w:ascii="Times New Roman" w:hAnsi="Times New Roman"/>
          <w:i/>
          <w:vertAlign w:val="subscript"/>
        </w:rPr>
        <w:t>t-1</w:t>
      </w:r>
      <w:r>
        <w:rPr>
          <w:rFonts w:ascii="Times New Roman" w:hAnsi="Times New Roman"/>
          <w:i/>
          <w:vertAlign w:val="subscript"/>
        </w:rPr>
        <w:t xml:space="preserve"> </w:t>
      </w:r>
      <w:r>
        <w:rPr>
          <w:rFonts w:ascii="Times New Roman" w:hAnsi="Times New Roman"/>
          <w:i/>
        </w:rPr>
        <w:t xml:space="preserve">/ </w:t>
      </w:r>
      <w:r w:rsidR="00E40471">
        <w:rPr>
          <w:rFonts w:ascii="Times New Roman" w:hAnsi="Times New Roman"/>
          <w:i/>
        </w:rPr>
        <w:t>US$ Libor</w:t>
      </w:r>
      <w:r w:rsidR="00E40471">
        <w:rPr>
          <w:rFonts w:ascii="Times New Roman" w:hAnsi="Times New Roman"/>
          <w:i/>
          <w:vertAlign w:val="superscript"/>
        </w:rPr>
        <w:t>+</w:t>
      </w:r>
      <w:r w:rsidR="00E40471">
        <w:rPr>
          <w:rFonts w:ascii="Times New Roman" w:hAnsi="Times New Roman"/>
          <w:i/>
        </w:rPr>
        <w:t xml:space="preserve"> + </w:t>
      </w:r>
      <w:r w:rsidR="00E40471">
        <w:rPr>
          <w:rFonts w:ascii="Symbol" w:hAnsi="Symbol"/>
          <w:i/>
        </w:rPr>
        <w:t></w:t>
      </w:r>
      <w:r w:rsidR="00E40471">
        <w:rPr>
          <w:rFonts w:ascii="Symbol" w:hAnsi="Symbol"/>
          <w:i/>
        </w:rPr>
        <w:t></w:t>
      </w:r>
      <w:r w:rsidR="00A655B7">
        <w:rPr>
          <w:rFonts w:ascii="Times New Roman" w:hAnsi="Times New Roman"/>
          <w:i/>
          <w:vertAlign w:val="superscript"/>
        </w:rPr>
        <w:t>CRT</w:t>
      </w:r>
      <w:r w:rsidR="00E40471">
        <w:rPr>
          <w:rFonts w:ascii="Times New Roman" w:hAnsi="Times New Roman"/>
          <w:i/>
        </w:rPr>
        <w:t xml:space="preserve"> </w:t>
      </w:r>
      <w:r>
        <w:rPr>
          <w:rFonts w:ascii="Times New Roman" w:hAnsi="Times New Roman"/>
          <w:i/>
        </w:rPr>
        <w:t xml:space="preserve">) </w:t>
      </w:r>
      <w:r w:rsidR="0038073E">
        <w:rPr>
          <w:rFonts w:ascii="Times New Roman" w:hAnsi="Times New Roman"/>
          <w:i/>
        </w:rPr>
        <w:t xml:space="preserve">              </w:t>
      </w:r>
      <w:r w:rsidR="0038073E">
        <w:rPr>
          <w:rFonts w:ascii="Times New Roman" w:hAnsi="Times New Roman"/>
        </w:rPr>
        <w:t>(</w:t>
      </w:r>
      <w:r w:rsidR="007C3850">
        <w:rPr>
          <w:rFonts w:ascii="Times New Roman" w:hAnsi="Times New Roman"/>
        </w:rPr>
        <w:t>4</w:t>
      </w:r>
      <w:r w:rsidR="0038073E">
        <w:rPr>
          <w:rFonts w:ascii="Times New Roman" w:hAnsi="Times New Roman"/>
        </w:rPr>
        <w:t>)</w:t>
      </w:r>
      <w:r w:rsidR="0038073E">
        <w:rPr>
          <w:rFonts w:ascii="Times New Roman" w:hAnsi="Times New Roman"/>
          <w:i/>
        </w:rPr>
        <w:t xml:space="preserve"> </w:t>
      </w:r>
    </w:p>
    <w:p w:rsidR="006B5C33" w:rsidRDefault="00D101CE" w:rsidP="0038073E">
      <w:pPr>
        <w:spacing w:line="360" w:lineRule="auto"/>
        <w:jc w:val="both"/>
        <w:rPr>
          <w:rFonts w:ascii="Times New Roman" w:hAnsi="Times New Roman"/>
        </w:rPr>
      </w:pPr>
      <w:r>
        <w:rPr>
          <w:rFonts w:ascii="Times New Roman" w:hAnsi="Times New Roman"/>
        </w:rPr>
        <w:t xml:space="preserve">Note this implies that the </w:t>
      </w:r>
      <w:r w:rsidR="007354DD">
        <w:rPr>
          <w:rFonts w:ascii="Times New Roman" w:hAnsi="Times New Roman"/>
        </w:rPr>
        <w:t>interest rate</w:t>
      </w:r>
      <w:r w:rsidR="00E40471">
        <w:rPr>
          <w:rFonts w:ascii="Times New Roman" w:hAnsi="Times New Roman"/>
        </w:rPr>
        <w:t xml:space="preserve"> and capital </w:t>
      </w:r>
      <w:r w:rsidR="007354DD">
        <w:rPr>
          <w:rFonts w:ascii="Times New Roman" w:hAnsi="Times New Roman"/>
        </w:rPr>
        <w:t xml:space="preserve">cost </w:t>
      </w:r>
      <w:r>
        <w:rPr>
          <w:rFonts w:ascii="Times New Roman" w:hAnsi="Times New Roman"/>
        </w:rPr>
        <w:t>of buying the underlying bonds</w:t>
      </w:r>
      <w:r w:rsidR="00E40471">
        <w:rPr>
          <w:rFonts w:ascii="Times New Roman" w:hAnsi="Times New Roman"/>
        </w:rPr>
        <w:t xml:space="preserve"> with face value </w:t>
      </w:r>
      <w:proofErr w:type="spellStart"/>
      <w:r w:rsidR="0038073E" w:rsidRPr="0038073E">
        <w:rPr>
          <w:rFonts w:ascii="Times New Roman" w:hAnsi="Times New Roman"/>
          <w:i/>
        </w:rPr>
        <w:t>Lev</w:t>
      </w:r>
      <w:r w:rsidR="00A655B7" w:rsidRPr="00D101CE">
        <w:rPr>
          <w:rFonts w:ascii="Times New Roman" w:hAnsi="Times New Roman"/>
          <w:i/>
          <w:vertAlign w:val="subscript"/>
        </w:rPr>
        <w:t>t</w:t>
      </w:r>
      <w:proofErr w:type="spellEnd"/>
      <w:r w:rsidR="00A655B7" w:rsidRPr="00D101CE">
        <w:rPr>
          <w:rFonts w:ascii="Times New Roman" w:hAnsi="Times New Roman"/>
          <w:i/>
        </w:rPr>
        <w:t xml:space="preserve"> </w:t>
      </w:r>
      <w:r w:rsidR="00A655B7" w:rsidRPr="00D101CE">
        <w:rPr>
          <w:rFonts w:ascii="Times New Roman" w:hAnsi="Times New Roman"/>
          <w:i/>
          <w:vertAlign w:val="superscript"/>
        </w:rPr>
        <w:t>max</w:t>
      </w:r>
      <w:r w:rsidR="00A655B7">
        <w:rPr>
          <w:rFonts w:ascii="Times New Roman" w:hAnsi="Times New Roman"/>
        </w:rPr>
        <w:t xml:space="preserve"> </w:t>
      </w:r>
      <w:r w:rsidR="0038073E">
        <w:rPr>
          <w:rFonts w:ascii="Times New Roman" w:hAnsi="Times New Roman"/>
        </w:rPr>
        <w:t xml:space="preserve"> will equal </w:t>
      </w:r>
      <w:r w:rsidR="00A655B7">
        <w:rPr>
          <w:rFonts w:ascii="Times New Roman" w:hAnsi="Times New Roman"/>
        </w:rPr>
        <w:t xml:space="preserve"> (</w:t>
      </w:r>
      <w:r w:rsidR="00A655B7">
        <w:rPr>
          <w:rFonts w:ascii="Times New Roman" w:hAnsi="Times New Roman"/>
          <w:i/>
        </w:rPr>
        <w:t>US$ Libor</w:t>
      </w:r>
      <w:r w:rsidR="00A655B7">
        <w:rPr>
          <w:rFonts w:ascii="Times New Roman" w:hAnsi="Times New Roman"/>
          <w:i/>
          <w:vertAlign w:val="superscript"/>
        </w:rPr>
        <w:t>+</w:t>
      </w:r>
      <w:r w:rsidR="00A655B7">
        <w:rPr>
          <w:rFonts w:ascii="Times New Roman" w:hAnsi="Times New Roman"/>
          <w:i/>
        </w:rPr>
        <w:t xml:space="preserve"> + </w:t>
      </w:r>
      <w:r w:rsidR="00A655B7">
        <w:rPr>
          <w:rFonts w:ascii="Symbol" w:hAnsi="Symbol"/>
          <w:i/>
        </w:rPr>
        <w:t></w:t>
      </w:r>
      <w:r w:rsidR="00A655B7">
        <w:rPr>
          <w:rFonts w:ascii="Symbol" w:hAnsi="Symbol"/>
          <w:i/>
        </w:rPr>
        <w:t></w:t>
      </w:r>
      <w:r w:rsidR="00A655B7">
        <w:rPr>
          <w:rFonts w:ascii="Times New Roman" w:hAnsi="Times New Roman"/>
          <w:i/>
          <w:vertAlign w:val="superscript"/>
        </w:rPr>
        <w:t>CRT</w:t>
      </w:r>
      <w:r w:rsidR="00A655B7">
        <w:rPr>
          <w:rFonts w:ascii="Times New Roman" w:hAnsi="Times New Roman"/>
          <w:i/>
        </w:rPr>
        <w:t xml:space="preserve"> )</w:t>
      </w:r>
      <w:proofErr w:type="spellStart"/>
      <w:r w:rsidR="008B7DE3">
        <w:rPr>
          <w:rFonts w:ascii="Times New Roman" w:hAnsi="Times New Roman"/>
          <w:i/>
        </w:rPr>
        <w:t>Lev</w:t>
      </w:r>
      <w:r>
        <w:rPr>
          <w:rFonts w:ascii="Times New Roman" w:hAnsi="Times New Roman"/>
          <w:vertAlign w:val="subscript"/>
        </w:rPr>
        <w:t>t</w:t>
      </w:r>
      <w:r>
        <w:rPr>
          <w:rFonts w:ascii="Times New Roman" w:hAnsi="Times New Roman"/>
          <w:vertAlign w:val="superscript"/>
        </w:rPr>
        <w:t>max</w:t>
      </w:r>
      <w:proofErr w:type="spellEnd"/>
      <w:r>
        <w:rPr>
          <w:rFonts w:ascii="Times New Roman" w:hAnsi="Times New Roman"/>
        </w:rPr>
        <w:t xml:space="preserve"> </w:t>
      </w:r>
      <w:r w:rsidR="0038073E">
        <w:rPr>
          <w:rFonts w:ascii="Times New Roman" w:hAnsi="Times New Roman"/>
        </w:rPr>
        <w:t>.  The latter</w:t>
      </w:r>
      <w:r>
        <w:rPr>
          <w:rFonts w:ascii="Times New Roman" w:hAnsi="Times New Roman"/>
        </w:rPr>
        <w:t xml:space="preserve"> will exactly </w:t>
      </w:r>
      <w:r w:rsidR="00200191">
        <w:rPr>
          <w:rFonts w:ascii="Times New Roman" w:hAnsi="Times New Roman"/>
        </w:rPr>
        <w:t>be financed by</w:t>
      </w:r>
      <w:r>
        <w:rPr>
          <w:rFonts w:ascii="Times New Roman" w:hAnsi="Times New Roman"/>
        </w:rPr>
        <w:t xml:space="preserve"> the CDS basis income at t-1.  </w:t>
      </w:r>
      <w:r w:rsidR="00A655B7">
        <w:rPr>
          <w:rFonts w:ascii="Times New Roman" w:hAnsi="Times New Roman"/>
        </w:rPr>
        <w:t>We use the 3</w:t>
      </w:r>
      <w:r w:rsidR="008B7DE3">
        <w:rPr>
          <w:rFonts w:ascii="Times New Roman" w:hAnsi="Times New Roman"/>
        </w:rPr>
        <w:t>-</w:t>
      </w:r>
      <w:r w:rsidR="00A655B7">
        <w:rPr>
          <w:rFonts w:ascii="Times New Roman" w:hAnsi="Times New Roman"/>
        </w:rPr>
        <w:t xml:space="preserve">month </w:t>
      </w:r>
      <w:r w:rsidR="00A655B7">
        <w:rPr>
          <w:rFonts w:ascii="Times New Roman" w:hAnsi="Times New Roman"/>
          <w:i/>
        </w:rPr>
        <w:t>US$ Libo</w:t>
      </w:r>
      <w:r w:rsidR="00F35AEB">
        <w:rPr>
          <w:rFonts w:ascii="Times New Roman" w:hAnsi="Times New Roman"/>
          <w:i/>
        </w:rPr>
        <w:t>r</w:t>
      </w:r>
      <w:r w:rsidR="00F35AEB">
        <w:rPr>
          <w:rFonts w:ascii="Times New Roman" w:hAnsi="Times New Roman"/>
        </w:rPr>
        <w:t xml:space="preserve"> and typically in 2006, 180 basis points over Libor </w:t>
      </w:r>
      <w:proofErr w:type="gramStart"/>
      <w:r w:rsidR="00F35AEB">
        <w:rPr>
          <w:rFonts w:ascii="Times New Roman" w:hAnsi="Times New Roman"/>
        </w:rPr>
        <w:t>was</w:t>
      </w:r>
      <w:proofErr w:type="gramEnd"/>
      <w:r w:rsidR="00F35AEB">
        <w:rPr>
          <w:rFonts w:ascii="Times New Roman" w:hAnsi="Times New Roman"/>
        </w:rPr>
        <w:t xml:space="preserve"> charged for </w:t>
      </w:r>
      <w:r w:rsidR="008B7DE3">
        <w:rPr>
          <w:rFonts w:ascii="Times New Roman" w:hAnsi="Times New Roman"/>
        </w:rPr>
        <w:t xml:space="preserve">the </w:t>
      </w:r>
      <w:r w:rsidR="00F35AEB">
        <w:rPr>
          <w:rFonts w:ascii="Times New Roman" w:hAnsi="Times New Roman"/>
        </w:rPr>
        <w:t>BBB</w:t>
      </w:r>
      <w:r w:rsidR="008B7DE3">
        <w:rPr>
          <w:rFonts w:ascii="Times New Roman" w:hAnsi="Times New Roman"/>
        </w:rPr>
        <w:t xml:space="preserve"> sub</w:t>
      </w:r>
      <w:r w:rsidR="007C3850">
        <w:rPr>
          <w:rFonts w:ascii="Times New Roman" w:hAnsi="Times New Roman"/>
        </w:rPr>
        <w:t>-</w:t>
      </w:r>
      <w:r w:rsidR="008B7DE3">
        <w:rPr>
          <w:rFonts w:ascii="Times New Roman" w:hAnsi="Times New Roman"/>
        </w:rPr>
        <w:t>index</w:t>
      </w:r>
      <w:r w:rsidR="00F35AEB">
        <w:rPr>
          <w:rFonts w:ascii="Times New Roman" w:hAnsi="Times New Roman"/>
        </w:rPr>
        <w:t xml:space="preserve"> (</w:t>
      </w:r>
      <w:r w:rsidR="008B7DE3">
        <w:rPr>
          <w:rFonts w:ascii="Times New Roman" w:hAnsi="Times New Roman"/>
        </w:rPr>
        <w:t>Lucas et. al.</w:t>
      </w:r>
      <w:r w:rsidR="00F35AEB">
        <w:rPr>
          <w:rFonts w:ascii="Times New Roman" w:hAnsi="Times New Roman"/>
        </w:rPr>
        <w:t xml:space="preserve"> </w:t>
      </w:r>
      <w:r w:rsidR="001F2DBD">
        <w:rPr>
          <w:rFonts w:ascii="Times New Roman" w:hAnsi="Times New Roman"/>
        </w:rPr>
        <w:t>(</w:t>
      </w:r>
      <w:r w:rsidR="00F35AEB">
        <w:rPr>
          <w:rFonts w:ascii="Times New Roman" w:hAnsi="Times New Roman"/>
        </w:rPr>
        <w:t>2006</w:t>
      </w:r>
      <w:r w:rsidR="001F2DBD">
        <w:rPr>
          <w:rFonts w:ascii="Times New Roman" w:hAnsi="Times New Roman"/>
        </w:rPr>
        <w:t>)</w:t>
      </w:r>
      <w:r w:rsidR="00F35AEB">
        <w:rPr>
          <w:rFonts w:ascii="Times New Roman" w:hAnsi="Times New Roman"/>
        </w:rPr>
        <w:t>).  The capital charge being applied is 160 basis points.</w:t>
      </w:r>
      <w:r w:rsidR="00A655B7">
        <w:rPr>
          <w:rFonts w:ascii="Times New Roman" w:hAnsi="Times New Roman"/>
          <w:i/>
        </w:rPr>
        <w:t xml:space="preserve"> </w:t>
      </w:r>
      <w:r w:rsidR="00A655B7">
        <w:rPr>
          <w:rFonts w:ascii="Times New Roman" w:hAnsi="Times New Roman"/>
        </w:rPr>
        <w:t xml:space="preserve"> </w:t>
      </w:r>
      <w:r w:rsidR="0038073E">
        <w:rPr>
          <w:rFonts w:ascii="Times New Roman" w:hAnsi="Times New Roman"/>
        </w:rPr>
        <w:t>Note all of the fund</w:t>
      </w:r>
      <w:r w:rsidR="008B7DE3">
        <w:rPr>
          <w:rFonts w:ascii="Times New Roman" w:hAnsi="Times New Roman"/>
        </w:rPr>
        <w:t>s</w:t>
      </w:r>
      <w:r w:rsidR="0038073E">
        <w:rPr>
          <w:rFonts w:ascii="Times New Roman" w:hAnsi="Times New Roman"/>
        </w:rPr>
        <w:t xml:space="preserve"> generated from </w:t>
      </w:r>
      <w:proofErr w:type="spellStart"/>
      <w:r w:rsidR="0038073E" w:rsidRPr="0038073E">
        <w:rPr>
          <w:rFonts w:ascii="Times New Roman" w:hAnsi="Times New Roman"/>
          <w:i/>
        </w:rPr>
        <w:t>Lev</w:t>
      </w:r>
      <w:r w:rsidR="0038073E" w:rsidRPr="00D101CE">
        <w:rPr>
          <w:rFonts w:ascii="Times New Roman" w:hAnsi="Times New Roman"/>
          <w:i/>
          <w:vertAlign w:val="subscript"/>
        </w:rPr>
        <w:t>t</w:t>
      </w:r>
      <w:proofErr w:type="spellEnd"/>
      <w:r w:rsidR="0038073E" w:rsidRPr="00D101CE">
        <w:rPr>
          <w:rFonts w:ascii="Times New Roman" w:hAnsi="Times New Roman"/>
          <w:i/>
        </w:rPr>
        <w:t xml:space="preserve"> </w:t>
      </w:r>
      <w:proofErr w:type="gramStart"/>
      <w:r w:rsidR="0038073E" w:rsidRPr="00D101CE">
        <w:rPr>
          <w:rFonts w:ascii="Times New Roman" w:hAnsi="Times New Roman"/>
          <w:i/>
          <w:vertAlign w:val="superscript"/>
        </w:rPr>
        <w:t>max</w:t>
      </w:r>
      <w:r w:rsidR="0038073E">
        <w:rPr>
          <w:rFonts w:ascii="Times New Roman" w:hAnsi="Times New Roman"/>
        </w:rPr>
        <w:t xml:space="preserve">  </w:t>
      </w:r>
      <w:r w:rsidR="00182B14">
        <w:rPr>
          <w:rFonts w:ascii="Times New Roman" w:hAnsi="Times New Roman"/>
        </w:rPr>
        <w:t>is</w:t>
      </w:r>
      <w:proofErr w:type="gramEnd"/>
      <w:r w:rsidR="00182B14">
        <w:rPr>
          <w:rFonts w:ascii="Times New Roman" w:hAnsi="Times New Roman"/>
        </w:rPr>
        <w:t xml:space="preserve"> invested solely in the mezzanine tranche.  The growth of RMBS assets in the case of leverage is given as:</w:t>
      </w:r>
      <w:r w:rsidR="0038073E">
        <w:rPr>
          <w:rFonts w:ascii="Times New Roman" w:hAnsi="Times New Roman"/>
        </w:rPr>
        <w:t xml:space="preserve"> </w:t>
      </w:r>
    </w:p>
    <w:p w:rsidR="00EC053C" w:rsidRDefault="0038073E" w:rsidP="007136E5">
      <w:pPr>
        <w:spacing w:line="360" w:lineRule="auto"/>
        <w:rPr>
          <w:rFonts w:ascii="Garamond" w:hAnsi="Garamond"/>
        </w:rPr>
      </w:pPr>
      <w:r>
        <w:rPr>
          <w:rFonts w:ascii="Times New Roman" w:hAnsi="Times New Roman"/>
          <w:i/>
        </w:rPr>
        <w:t xml:space="preserve">With Leverage:  </w:t>
      </w:r>
      <w:r w:rsidR="00182B14">
        <w:rPr>
          <w:rFonts w:ascii="Times New Roman" w:hAnsi="Times New Roman"/>
          <w:i/>
        </w:rPr>
        <w:t xml:space="preserve">  </w:t>
      </w:r>
      <w:proofErr w:type="spellStart"/>
      <w:proofErr w:type="gramStart"/>
      <w:r w:rsidR="00182B14" w:rsidRPr="00994DC2">
        <w:rPr>
          <w:rFonts w:ascii="Times New Roman" w:hAnsi="Times New Roman"/>
          <w:i/>
        </w:rPr>
        <w:t>RMBS</w:t>
      </w:r>
      <w:r w:rsidR="00182B14" w:rsidRPr="00994DC2">
        <w:rPr>
          <w:rFonts w:ascii="Times New Roman" w:hAnsi="Times New Roman"/>
          <w:i/>
          <w:vertAlign w:val="subscript"/>
        </w:rPr>
        <w:t>t</w:t>
      </w:r>
      <w:proofErr w:type="spellEnd"/>
      <w:r w:rsidR="00182B14" w:rsidRPr="00994DC2">
        <w:rPr>
          <w:rFonts w:ascii="Times New Roman" w:hAnsi="Times New Roman"/>
          <w:i/>
        </w:rPr>
        <w:t xml:space="preserve">  =</w:t>
      </w:r>
      <w:proofErr w:type="gramEnd"/>
      <w:r w:rsidR="00182B14" w:rsidRPr="00994DC2">
        <w:rPr>
          <w:rFonts w:ascii="Times New Roman" w:hAnsi="Times New Roman"/>
          <w:i/>
        </w:rPr>
        <w:t xml:space="preserve"> </w:t>
      </w:r>
      <w:r w:rsidR="00182B14">
        <w:rPr>
          <w:rFonts w:ascii="Times New Roman" w:hAnsi="Times New Roman"/>
          <w:i/>
        </w:rPr>
        <w:t xml:space="preserve">  </w:t>
      </w:r>
      <w:r w:rsidR="00182B14" w:rsidRPr="00994DC2">
        <w:rPr>
          <w:rFonts w:ascii="Times New Roman" w:hAnsi="Times New Roman"/>
          <w:i/>
        </w:rPr>
        <w:t>RMBS</w:t>
      </w:r>
      <w:r w:rsidR="00182B14">
        <w:rPr>
          <w:rFonts w:ascii="Times New Roman" w:hAnsi="Times New Roman"/>
          <w:i/>
          <w:vertAlign w:val="superscript"/>
        </w:rPr>
        <w:t>#</w:t>
      </w:r>
      <w:r w:rsidR="00182B14" w:rsidRPr="00994DC2">
        <w:rPr>
          <w:rFonts w:ascii="Times New Roman" w:hAnsi="Times New Roman"/>
          <w:i/>
          <w:vertAlign w:val="subscript"/>
        </w:rPr>
        <w:t>t-1</w:t>
      </w:r>
      <w:r w:rsidR="00182B14" w:rsidRPr="00994DC2">
        <w:rPr>
          <w:rFonts w:ascii="Times New Roman" w:hAnsi="Times New Roman"/>
          <w:i/>
        </w:rPr>
        <w:t xml:space="preserve">   + </w:t>
      </w:r>
      <w:r w:rsidR="00182B14" w:rsidRPr="004313D9">
        <w:rPr>
          <w:rFonts w:ascii="Symbol" w:hAnsi="Symbol"/>
          <w:i/>
          <w:sz w:val="24"/>
          <w:szCs w:val="24"/>
        </w:rPr>
        <w:t></w:t>
      </w:r>
      <w:r w:rsidR="00182B14" w:rsidRPr="004313D9">
        <w:rPr>
          <w:rFonts w:ascii="Symbol" w:hAnsi="Symbol"/>
          <w:i/>
          <w:sz w:val="24"/>
          <w:szCs w:val="24"/>
        </w:rPr>
        <w:t></w:t>
      </w:r>
      <w:r w:rsidR="00182B14" w:rsidRPr="004313D9">
        <w:rPr>
          <w:rFonts w:ascii="Times New Roman" w:hAnsi="Times New Roman"/>
          <w:i/>
          <w:sz w:val="24"/>
          <w:szCs w:val="24"/>
          <w:vertAlign w:val="subscript"/>
        </w:rPr>
        <w:t>t-1</w:t>
      </w:r>
      <w:r w:rsidR="00182B14">
        <w:rPr>
          <w:rFonts w:ascii="Times New Roman" w:hAnsi="Times New Roman"/>
          <w:i/>
          <w:sz w:val="24"/>
          <w:szCs w:val="24"/>
          <w:vertAlign w:val="subscript"/>
        </w:rPr>
        <w:t xml:space="preserve"> </w:t>
      </w:r>
      <w:r w:rsidR="00182B14">
        <w:rPr>
          <w:rFonts w:ascii="Times New Roman" w:hAnsi="Times New Roman"/>
          <w:i/>
          <w:sz w:val="24"/>
          <w:szCs w:val="24"/>
        </w:rPr>
        <w:t xml:space="preserve"> + </w:t>
      </w:r>
      <w:r w:rsidR="00182B14">
        <w:rPr>
          <w:rFonts w:ascii="Times New Roman" w:hAnsi="Times New Roman"/>
          <w:sz w:val="24"/>
          <w:szCs w:val="24"/>
        </w:rPr>
        <w:t xml:space="preserve">     </w:t>
      </w:r>
      <w:proofErr w:type="spellStart"/>
      <w:r w:rsidR="00182B14" w:rsidRPr="0038073E">
        <w:rPr>
          <w:rFonts w:ascii="Times New Roman" w:hAnsi="Times New Roman"/>
          <w:i/>
        </w:rPr>
        <w:t>Lev</w:t>
      </w:r>
      <w:r w:rsidR="00182B14" w:rsidRPr="00D101CE">
        <w:rPr>
          <w:rFonts w:ascii="Times New Roman" w:hAnsi="Times New Roman"/>
          <w:i/>
          <w:vertAlign w:val="subscript"/>
        </w:rPr>
        <w:t>t</w:t>
      </w:r>
      <w:proofErr w:type="spellEnd"/>
      <w:r w:rsidR="00182B14" w:rsidRPr="00D101CE">
        <w:rPr>
          <w:rFonts w:ascii="Times New Roman" w:hAnsi="Times New Roman"/>
          <w:i/>
        </w:rPr>
        <w:t xml:space="preserve"> </w:t>
      </w:r>
      <w:r w:rsidR="00182B14" w:rsidRPr="00D101CE">
        <w:rPr>
          <w:rFonts w:ascii="Times New Roman" w:hAnsi="Times New Roman"/>
          <w:i/>
          <w:vertAlign w:val="superscript"/>
        </w:rPr>
        <w:t>max</w:t>
      </w:r>
      <w:r w:rsidR="00182B14">
        <w:rPr>
          <w:rFonts w:ascii="Times New Roman" w:hAnsi="Times New Roman"/>
        </w:rPr>
        <w:t xml:space="preserve"> </w:t>
      </w:r>
      <w:r w:rsidR="00CC2E2A">
        <w:rPr>
          <w:rFonts w:ascii="Times New Roman" w:hAnsi="Times New Roman"/>
        </w:rPr>
        <w:t>.</w:t>
      </w:r>
      <w:r w:rsidR="00182B14">
        <w:rPr>
          <w:rFonts w:ascii="Times New Roman" w:hAnsi="Times New Roman"/>
        </w:rPr>
        <w:t xml:space="preserve">                                       (</w:t>
      </w:r>
      <w:r w:rsidR="007C3850">
        <w:rPr>
          <w:rFonts w:ascii="Times New Roman" w:hAnsi="Times New Roman"/>
        </w:rPr>
        <w:t>5</w:t>
      </w:r>
      <w:r w:rsidR="00182B14">
        <w:rPr>
          <w:rFonts w:ascii="Times New Roman" w:hAnsi="Times New Roman"/>
        </w:rPr>
        <w:t xml:space="preserve">) </w:t>
      </w:r>
      <w:r w:rsidR="008C16F4">
        <w:rPr>
          <w:rFonts w:ascii="Times New Roman" w:hAnsi="Times New Roman"/>
        </w:rPr>
        <w:br/>
      </w:r>
      <w:r w:rsidR="00AC1CC9">
        <w:rPr>
          <w:rFonts w:ascii="Times New Roman" w:hAnsi="Times New Roman"/>
          <w:b/>
        </w:rPr>
        <w:br/>
      </w:r>
      <w:r w:rsidR="00E64412">
        <w:rPr>
          <w:rFonts w:ascii="Times New Roman" w:hAnsi="Times New Roman"/>
          <w:b/>
        </w:rPr>
        <w:t>4</w:t>
      </w:r>
      <w:r w:rsidR="00CC2E2A">
        <w:rPr>
          <w:rFonts w:ascii="Times New Roman" w:hAnsi="Times New Roman"/>
          <w:b/>
        </w:rPr>
        <w:t xml:space="preserve">. </w:t>
      </w:r>
      <w:r w:rsidR="00F525E8" w:rsidRPr="00CC2E2A">
        <w:rPr>
          <w:rFonts w:ascii="Times New Roman" w:hAnsi="Times New Roman"/>
          <w:b/>
        </w:rPr>
        <w:t xml:space="preserve">Data </w:t>
      </w:r>
      <w:r w:rsidR="00775FF7">
        <w:rPr>
          <w:rFonts w:ascii="Times New Roman" w:hAnsi="Times New Roman"/>
          <w:b/>
        </w:rPr>
        <w:t>Used For</w:t>
      </w:r>
      <w:r w:rsidR="00F525E8" w:rsidRPr="00CC2E2A">
        <w:rPr>
          <w:rFonts w:ascii="Times New Roman" w:hAnsi="Times New Roman"/>
          <w:b/>
        </w:rPr>
        <w:t xml:space="preserve"> Simulation </w:t>
      </w:r>
      <w:r w:rsidR="00F525E8" w:rsidRPr="00CC2E2A">
        <w:rPr>
          <w:rFonts w:ascii="Times New Roman" w:hAnsi="Times New Roman"/>
          <w:b/>
        </w:rPr>
        <w:br/>
      </w:r>
      <w:r w:rsidR="00E64412">
        <w:rPr>
          <w:rFonts w:ascii="Times New Roman" w:hAnsi="Times New Roman"/>
          <w:b/>
        </w:rPr>
        <w:t>4</w:t>
      </w:r>
      <w:r w:rsidR="00F525E8" w:rsidRPr="00CC2E2A">
        <w:rPr>
          <w:rFonts w:ascii="Times New Roman" w:hAnsi="Times New Roman"/>
          <w:b/>
        </w:rPr>
        <w:t xml:space="preserve">.1 </w:t>
      </w:r>
      <w:r w:rsidR="00FD332F" w:rsidRPr="00CC2E2A">
        <w:rPr>
          <w:rFonts w:ascii="Times New Roman" w:hAnsi="Times New Roman"/>
          <w:b/>
        </w:rPr>
        <w:t xml:space="preserve">The </w:t>
      </w:r>
      <w:r w:rsidR="00E64412">
        <w:rPr>
          <w:rFonts w:ascii="Times New Roman" w:hAnsi="Times New Roman"/>
          <w:b/>
        </w:rPr>
        <w:t xml:space="preserve">FDIC </w:t>
      </w:r>
      <w:r w:rsidR="00FD332F" w:rsidRPr="00CC2E2A">
        <w:rPr>
          <w:rFonts w:ascii="Times New Roman" w:hAnsi="Times New Roman"/>
          <w:b/>
        </w:rPr>
        <w:t>Bank Data</w:t>
      </w:r>
      <w:r w:rsidR="008C16F4">
        <w:rPr>
          <w:rFonts w:ascii="Times New Roman" w:hAnsi="Times New Roman"/>
          <w:b/>
        </w:rPr>
        <w:br/>
      </w:r>
      <w:r w:rsidR="00F939C1" w:rsidRPr="007136E5">
        <w:rPr>
          <w:rFonts w:ascii="Times New Roman" w:hAnsi="Times New Roman"/>
        </w:rPr>
        <w:t xml:space="preserve">The bank data used in the model presented here is taken from the Thrift/Call Reports of FDIC insured banks most active in CDS market, as reported by US operating banks to the Federal Deposit Insurance Corporation (FDIC). This data is available to </w:t>
      </w:r>
      <w:r w:rsidR="008B7DE3" w:rsidRPr="007136E5">
        <w:rPr>
          <w:rFonts w:ascii="Times New Roman" w:hAnsi="Times New Roman"/>
        </w:rPr>
        <w:t xml:space="preserve">the </w:t>
      </w:r>
      <w:r w:rsidR="00F939C1" w:rsidRPr="007136E5">
        <w:rPr>
          <w:rFonts w:ascii="Times New Roman" w:hAnsi="Times New Roman"/>
        </w:rPr>
        <w:t xml:space="preserve">public either in form of individually submitted reports or in form of quarterly bulk reports collected into tab delimited CSV files. For each reporting quarter between 2002Q1 and 2010Q2 these tab delimited CSV files were imported into a single MySQL database from which the agent data is extracted based on CDS market participation conditions. In particular, the criteria used to determine the banks for which data is extracted is that </w:t>
      </w:r>
      <w:r w:rsidR="00F939C1" w:rsidRPr="007136E5">
        <w:rPr>
          <w:rFonts w:ascii="Times New Roman" w:hAnsi="Times New Roman"/>
        </w:rPr>
        <w:lastRenderedPageBreak/>
        <w:t>they have a record of CDS credit protection purchases at any point during the 2002Q2 and 2010Q</w:t>
      </w:r>
      <w:r w:rsidR="007C3850" w:rsidRPr="007136E5">
        <w:rPr>
          <w:rFonts w:ascii="Times New Roman" w:hAnsi="Times New Roman"/>
        </w:rPr>
        <w:t>1</w:t>
      </w:r>
      <w:r w:rsidR="00F939C1" w:rsidRPr="007136E5">
        <w:rPr>
          <w:rFonts w:ascii="Times New Roman" w:hAnsi="Times New Roman"/>
        </w:rPr>
        <w:t xml:space="preserve"> period. The RC-Codes for the Thrift/Call report items corresponding to mortgage backed securities held on balance sheet, credit default swap protection purchases and mortgage backed securitisation activity of the banks are then extracted.</w:t>
      </w:r>
      <w:r w:rsidR="009E581A" w:rsidRPr="007136E5">
        <w:rPr>
          <w:rStyle w:val="FootnoteReference"/>
          <w:rFonts w:ascii="Times New Roman" w:hAnsi="Times New Roman"/>
        </w:rPr>
        <w:footnoteReference w:id="18"/>
      </w:r>
      <w:r w:rsidR="008A3C43" w:rsidRPr="007136E5">
        <w:rPr>
          <w:rFonts w:ascii="Times New Roman" w:hAnsi="Times New Roman"/>
        </w:rPr>
        <w:t xml:space="preserve"> </w:t>
      </w:r>
      <w:r w:rsidR="00AC1CC9" w:rsidRPr="007136E5">
        <w:rPr>
          <w:rFonts w:ascii="Times New Roman" w:hAnsi="Times New Roman"/>
        </w:rPr>
        <w:br/>
      </w:r>
      <w:r w:rsidR="00A64E88" w:rsidRPr="00F855AA">
        <w:rPr>
          <w:rFonts w:ascii="Times New Roman" w:hAnsi="Times New Roman"/>
          <w:b/>
        </w:rPr>
        <w:t xml:space="preserve">Figure </w:t>
      </w:r>
      <w:r w:rsidR="00CC2E2A" w:rsidRPr="00F855AA">
        <w:rPr>
          <w:rFonts w:ascii="Times New Roman" w:hAnsi="Times New Roman"/>
          <w:b/>
        </w:rPr>
        <w:t xml:space="preserve">5 </w:t>
      </w:r>
      <w:r w:rsidR="003E60A4" w:rsidRPr="00F855AA">
        <w:rPr>
          <w:rFonts w:ascii="Times New Roman" w:hAnsi="Times New Roman"/>
          <w:b/>
        </w:rPr>
        <w:t>Total Balance Sheet Holdings of RMBS vs. Structured MBS by All Banks in Sample</w:t>
      </w:r>
      <w:r w:rsidR="00297E75" w:rsidRPr="00F855AA">
        <w:rPr>
          <w:rFonts w:ascii="Times New Roman" w:hAnsi="Times New Roman"/>
          <w:b/>
        </w:rPr>
        <w:t xml:space="preserve"> (2002 Q1 – 2010Q1)</w:t>
      </w:r>
      <w:r w:rsidR="00EC053C" w:rsidRPr="00EC053C">
        <w:rPr>
          <w:rFonts w:ascii="Garamond" w:hAnsi="Garamond"/>
          <w:noProof/>
          <w:lang w:eastAsia="en-GB"/>
        </w:rPr>
        <w:drawing>
          <wp:inline distT="0" distB="0" distL="0" distR="0">
            <wp:extent cx="5732363" cy="2483892"/>
            <wp:effectExtent l="19050" t="0" r="20737"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B786A" w:rsidRPr="00BE6EA8" w:rsidRDefault="001B786A" w:rsidP="00775FF7">
      <w:pPr>
        <w:spacing w:line="360" w:lineRule="auto"/>
        <w:jc w:val="both"/>
        <w:rPr>
          <w:rFonts w:ascii="Times New Roman" w:hAnsi="Times New Roman"/>
          <w:sz w:val="20"/>
          <w:szCs w:val="20"/>
        </w:rPr>
      </w:pPr>
      <w:r w:rsidRPr="00BE6EA8">
        <w:rPr>
          <w:rFonts w:ascii="Times New Roman" w:hAnsi="Times New Roman"/>
          <w:b/>
          <w:sz w:val="20"/>
          <w:szCs w:val="20"/>
        </w:rPr>
        <w:t>Source:</w:t>
      </w:r>
      <w:r w:rsidRPr="00BE6EA8">
        <w:rPr>
          <w:rFonts w:ascii="Times New Roman" w:hAnsi="Times New Roman"/>
          <w:sz w:val="20"/>
          <w:szCs w:val="20"/>
        </w:rPr>
        <w:t xml:space="preserve"> F</w:t>
      </w:r>
      <w:r w:rsidR="00BE6EA8" w:rsidRPr="00BE6EA8">
        <w:rPr>
          <w:rFonts w:ascii="Times New Roman" w:hAnsi="Times New Roman"/>
          <w:sz w:val="20"/>
          <w:szCs w:val="20"/>
        </w:rPr>
        <w:t>D</w:t>
      </w:r>
      <w:r w:rsidRPr="00BE6EA8">
        <w:rPr>
          <w:rFonts w:ascii="Times New Roman" w:hAnsi="Times New Roman"/>
          <w:sz w:val="20"/>
          <w:szCs w:val="20"/>
        </w:rPr>
        <w:t>IC Call Reports</w:t>
      </w:r>
    </w:p>
    <w:p w:rsidR="004271A9" w:rsidRPr="00775FF7" w:rsidRDefault="004271A9" w:rsidP="00775FF7">
      <w:pPr>
        <w:spacing w:line="360" w:lineRule="auto"/>
        <w:jc w:val="both"/>
        <w:rPr>
          <w:rFonts w:ascii="Times New Roman" w:hAnsi="Times New Roman"/>
        </w:rPr>
      </w:pPr>
      <w:r w:rsidRPr="00775FF7">
        <w:rPr>
          <w:rFonts w:ascii="Times New Roman" w:hAnsi="Times New Roman"/>
        </w:rPr>
        <w:t xml:space="preserve">At the individual bank level, wide variations can be observed in the </w:t>
      </w:r>
      <w:r w:rsidR="009677F8" w:rsidRPr="00775FF7">
        <w:rPr>
          <w:rFonts w:ascii="Times New Roman" w:hAnsi="Times New Roman"/>
        </w:rPr>
        <w:t xml:space="preserve">FDIC </w:t>
      </w:r>
      <w:r w:rsidRPr="00775FF7">
        <w:rPr>
          <w:rFonts w:ascii="Times New Roman" w:hAnsi="Times New Roman"/>
        </w:rPr>
        <w:t xml:space="preserve">data </w:t>
      </w:r>
      <w:r w:rsidR="00800DE1" w:rsidRPr="00775FF7">
        <w:rPr>
          <w:rFonts w:ascii="Times New Roman" w:hAnsi="Times New Roman"/>
        </w:rPr>
        <w:t xml:space="preserve">on RMBS holdings </w:t>
      </w:r>
      <w:r w:rsidRPr="00775FF7">
        <w:rPr>
          <w:rFonts w:ascii="Times New Roman" w:hAnsi="Times New Roman"/>
        </w:rPr>
        <w:t>over the 2002Q1 and 2010Q2</w:t>
      </w:r>
      <w:r w:rsidR="009677F8" w:rsidRPr="00775FF7">
        <w:rPr>
          <w:rFonts w:ascii="Times New Roman" w:hAnsi="Times New Roman"/>
        </w:rPr>
        <w:t xml:space="preserve"> </w:t>
      </w:r>
      <w:r w:rsidR="005D0424" w:rsidRPr="00775FF7">
        <w:rPr>
          <w:rFonts w:ascii="Times New Roman" w:hAnsi="Times New Roman"/>
        </w:rPr>
        <w:t>decade</w:t>
      </w:r>
      <w:r w:rsidRPr="00775FF7">
        <w:rPr>
          <w:rFonts w:ascii="Times New Roman" w:hAnsi="Times New Roman"/>
        </w:rPr>
        <w:t xml:space="preserve">. </w:t>
      </w:r>
      <w:r w:rsidR="002C643F" w:rsidRPr="00775FF7">
        <w:rPr>
          <w:rFonts w:ascii="Times New Roman" w:hAnsi="Times New Roman"/>
        </w:rPr>
        <w:t xml:space="preserve"> However, for the period 2006- 2007 Q3, all banks in our sample with the exception of Bank of America showed a steady and in some cases very large increase in balance sheet holdings of RMBS.  </w:t>
      </w:r>
      <w:r w:rsidRPr="00775FF7">
        <w:rPr>
          <w:rFonts w:ascii="Times New Roman" w:hAnsi="Times New Roman"/>
        </w:rPr>
        <w:t>The largest RMBS holder</w:t>
      </w:r>
      <w:r w:rsidR="00F17491">
        <w:rPr>
          <w:rFonts w:ascii="Times New Roman" w:hAnsi="Times New Roman"/>
        </w:rPr>
        <w:t>,</w:t>
      </w:r>
      <w:r w:rsidRPr="00F17491">
        <w:rPr>
          <w:rFonts w:ascii="Times New Roman" w:hAnsi="Times New Roman"/>
          <w:color w:val="FF0000"/>
        </w:rPr>
        <w:t xml:space="preserve"> </w:t>
      </w:r>
      <w:r w:rsidRPr="00775FF7">
        <w:rPr>
          <w:rFonts w:ascii="Times New Roman" w:hAnsi="Times New Roman"/>
        </w:rPr>
        <w:t>Bank of America, saw a rapid growth in its holdings from US$62.4bn in</w:t>
      </w:r>
      <w:r w:rsidR="00F17491">
        <w:rPr>
          <w:rFonts w:ascii="Times New Roman" w:hAnsi="Times New Roman"/>
        </w:rPr>
        <w:t xml:space="preserve"> 2002Q1 to US$211.9bn by 2005Q2</w:t>
      </w:r>
      <w:r w:rsidR="00D63B59">
        <w:rPr>
          <w:rFonts w:ascii="Times New Roman" w:hAnsi="Times New Roman"/>
        </w:rPr>
        <w:t>. F</w:t>
      </w:r>
      <w:r w:rsidRPr="00775FF7">
        <w:rPr>
          <w:rFonts w:ascii="Times New Roman" w:hAnsi="Times New Roman"/>
        </w:rPr>
        <w:t xml:space="preserve">rom which point its holdings fell to US$146.6bn by 2007Q1. </w:t>
      </w:r>
    </w:p>
    <w:p w:rsidR="00E64412" w:rsidRPr="00775FF7" w:rsidRDefault="00E64412" w:rsidP="00E64412">
      <w:pPr>
        <w:spacing w:line="360" w:lineRule="auto"/>
        <w:jc w:val="both"/>
        <w:rPr>
          <w:rFonts w:ascii="Times New Roman" w:hAnsi="Times New Roman"/>
        </w:rPr>
      </w:pPr>
      <w:r w:rsidRPr="00775FF7">
        <w:rPr>
          <w:rFonts w:ascii="Times New Roman" w:hAnsi="Times New Roman"/>
        </w:rPr>
        <w:t>Also, note that increase of Citibank’s RMBS holdings from a negligible amount in 2006 Q1 to over $100bn in 2007 Q1 coincided with its strategic restructuring of 2006.</w:t>
      </w:r>
      <w:r w:rsidRPr="00775FF7">
        <w:rPr>
          <w:rStyle w:val="FootnoteReference"/>
          <w:rFonts w:ascii="Times New Roman" w:hAnsi="Times New Roman"/>
        </w:rPr>
        <w:footnoteReference w:id="19"/>
      </w:r>
      <w:r w:rsidRPr="00775FF7">
        <w:rPr>
          <w:rFonts w:ascii="Times New Roman" w:hAnsi="Times New Roman"/>
        </w:rPr>
        <w:t xml:space="preserve">  JPMorgan from an initial decline in its holdings of US$56bn in 2003Q2 to US$21.18bn by 2005</w:t>
      </w:r>
      <w:r w:rsidR="007D56D2">
        <w:rPr>
          <w:rFonts w:ascii="Times New Roman" w:hAnsi="Times New Roman"/>
        </w:rPr>
        <w:t xml:space="preserve"> </w:t>
      </w:r>
      <w:proofErr w:type="gramStart"/>
      <w:r w:rsidRPr="00775FF7">
        <w:rPr>
          <w:rFonts w:ascii="Times New Roman" w:hAnsi="Times New Roman"/>
        </w:rPr>
        <w:t>Q4,</w:t>
      </w:r>
      <w:proofErr w:type="gramEnd"/>
      <w:r w:rsidRPr="00775FF7">
        <w:rPr>
          <w:rFonts w:ascii="Times New Roman" w:hAnsi="Times New Roman"/>
        </w:rPr>
        <w:t xml:space="preserve"> substantially increased its holdings over the next 2 year period reaching US$79bn by 2007Q2</w:t>
      </w:r>
      <w:r w:rsidR="00F17491">
        <w:rPr>
          <w:rFonts w:ascii="Times New Roman" w:hAnsi="Times New Roman"/>
        </w:rPr>
        <w:t>.  This</w:t>
      </w:r>
      <w:r w:rsidRPr="00775FF7">
        <w:rPr>
          <w:rFonts w:ascii="Times New Roman" w:hAnsi="Times New Roman"/>
        </w:rPr>
        <w:t xml:space="preserve"> dipp</w:t>
      </w:r>
      <w:r w:rsidR="00F17491">
        <w:rPr>
          <w:rFonts w:ascii="Times New Roman" w:hAnsi="Times New Roman"/>
        </w:rPr>
        <w:t>ed</w:t>
      </w:r>
      <w:r w:rsidRPr="00775FF7">
        <w:rPr>
          <w:rFonts w:ascii="Times New Roman" w:hAnsi="Times New Roman"/>
        </w:rPr>
        <w:t xml:space="preserve"> to US$66.7bn in </w:t>
      </w:r>
      <w:r w:rsidRPr="00775FF7">
        <w:rPr>
          <w:rFonts w:ascii="Times New Roman" w:hAnsi="Times New Roman"/>
        </w:rPr>
        <w:lastRenderedPageBreak/>
        <w:t xml:space="preserve">2007Q4 before rebounding to a height of US$195.4bn by 2009Q3. </w:t>
      </w:r>
      <w:r w:rsidR="004C5C3C">
        <w:rPr>
          <w:rFonts w:ascii="Times New Roman" w:hAnsi="Times New Roman"/>
        </w:rPr>
        <w:t xml:space="preserve"> </w:t>
      </w:r>
      <w:r w:rsidRPr="00775FF7">
        <w:rPr>
          <w:rFonts w:ascii="Times New Roman" w:hAnsi="Times New Roman"/>
        </w:rPr>
        <w:t xml:space="preserve">For banks outside of the Top 12, holdings declined from the 2004Q1 peak of US$167bn to US$111.9bn in 2006Q2, then witnessed an increase to US$172bn by 2007Q3 before falling back to early 2006 levels by 2008Q1. </w:t>
      </w:r>
    </w:p>
    <w:p w:rsidR="004C5765" w:rsidRPr="004E16F6" w:rsidRDefault="004C5765" w:rsidP="00DA5012">
      <w:pPr>
        <w:keepNext/>
        <w:keepLines/>
        <w:spacing w:line="360" w:lineRule="auto"/>
        <w:jc w:val="both"/>
        <w:rPr>
          <w:rFonts w:ascii="Times New Roman" w:hAnsi="Times New Roman"/>
          <w:b/>
        </w:rPr>
      </w:pPr>
      <w:r w:rsidRPr="004E16F6">
        <w:rPr>
          <w:rFonts w:ascii="Times New Roman" w:hAnsi="Times New Roman"/>
          <w:b/>
        </w:rPr>
        <w:t xml:space="preserve">Figure </w:t>
      </w:r>
      <w:r w:rsidR="008C16F4" w:rsidRPr="004E16F6">
        <w:rPr>
          <w:rFonts w:ascii="Times New Roman" w:hAnsi="Times New Roman"/>
          <w:b/>
        </w:rPr>
        <w:t>6</w:t>
      </w:r>
      <w:r w:rsidR="00775FF7" w:rsidRPr="004E16F6">
        <w:rPr>
          <w:rFonts w:ascii="Times New Roman" w:hAnsi="Times New Roman"/>
          <w:b/>
        </w:rPr>
        <w:t>:</w:t>
      </w:r>
      <w:r w:rsidR="008C16F4" w:rsidRPr="004E16F6">
        <w:rPr>
          <w:rFonts w:ascii="Times New Roman" w:hAnsi="Times New Roman"/>
          <w:b/>
        </w:rPr>
        <w:t xml:space="preserve"> </w:t>
      </w:r>
      <w:r w:rsidR="00DD3DA9" w:rsidRPr="004E16F6">
        <w:rPr>
          <w:rFonts w:ascii="Times New Roman" w:hAnsi="Times New Roman"/>
          <w:b/>
        </w:rPr>
        <w:t xml:space="preserve">RMBS Assets </w:t>
      </w:r>
      <w:r w:rsidR="004271A9" w:rsidRPr="004E16F6">
        <w:rPr>
          <w:rFonts w:ascii="Times New Roman" w:hAnsi="Times New Roman"/>
          <w:b/>
        </w:rPr>
        <w:t xml:space="preserve">Top 5 </w:t>
      </w:r>
      <w:r w:rsidR="00DD3DA9" w:rsidRPr="004E16F6">
        <w:rPr>
          <w:rFonts w:ascii="Times New Roman" w:hAnsi="Times New Roman"/>
          <w:b/>
        </w:rPr>
        <w:t xml:space="preserve">FDIC Banks </w:t>
      </w:r>
    </w:p>
    <w:p w:rsidR="004C5765" w:rsidRDefault="004C5765" w:rsidP="00DA5012">
      <w:pPr>
        <w:keepNext/>
        <w:keepLines/>
        <w:spacing w:line="360" w:lineRule="auto"/>
        <w:jc w:val="both"/>
        <w:rPr>
          <w:rFonts w:ascii="Times New Roman" w:hAnsi="Times New Roman"/>
        </w:rPr>
      </w:pPr>
      <w:r>
        <w:rPr>
          <w:noProof/>
          <w:lang w:eastAsia="en-GB"/>
        </w:rPr>
        <w:drawing>
          <wp:inline distT="0" distB="0" distL="0" distR="0">
            <wp:extent cx="5600700" cy="3514725"/>
            <wp:effectExtent l="19050" t="0" r="19050" b="0"/>
            <wp:docPr id="37" name="Object 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53BDD" w:rsidRPr="004C5C3C" w:rsidRDefault="00950A12" w:rsidP="00994DC2">
      <w:pPr>
        <w:spacing w:line="360" w:lineRule="auto"/>
        <w:jc w:val="both"/>
        <w:rPr>
          <w:rFonts w:ascii="Times New Roman" w:hAnsi="Times New Roman"/>
          <w:sz w:val="20"/>
          <w:szCs w:val="20"/>
        </w:rPr>
      </w:pPr>
      <w:r w:rsidRPr="004C5C3C">
        <w:rPr>
          <w:rFonts w:ascii="Times New Roman" w:hAnsi="Times New Roman"/>
          <w:b/>
          <w:sz w:val="20"/>
          <w:szCs w:val="20"/>
        </w:rPr>
        <w:t>Source</w:t>
      </w:r>
      <w:r w:rsidR="004C5C3C" w:rsidRPr="004C5C3C">
        <w:rPr>
          <w:rFonts w:ascii="Times New Roman" w:hAnsi="Times New Roman"/>
          <w:b/>
          <w:sz w:val="20"/>
          <w:szCs w:val="20"/>
        </w:rPr>
        <w:t>:</w:t>
      </w:r>
      <w:r w:rsidRPr="004C5C3C">
        <w:rPr>
          <w:rFonts w:ascii="Times New Roman" w:hAnsi="Times New Roman"/>
          <w:b/>
          <w:sz w:val="20"/>
          <w:szCs w:val="20"/>
        </w:rPr>
        <w:t xml:space="preserve"> </w:t>
      </w:r>
      <w:r w:rsidRPr="004C5C3C">
        <w:rPr>
          <w:rFonts w:ascii="Times New Roman" w:hAnsi="Times New Roman"/>
          <w:sz w:val="20"/>
          <w:szCs w:val="20"/>
        </w:rPr>
        <w:t>FDIC Call Reports</w:t>
      </w:r>
    </w:p>
    <w:p w:rsidR="000640DA" w:rsidRPr="00265408" w:rsidRDefault="00811555" w:rsidP="00994DC2">
      <w:pPr>
        <w:pStyle w:val="Heading3"/>
        <w:numPr>
          <w:ilvl w:val="0"/>
          <w:numId w:val="0"/>
        </w:numPr>
        <w:spacing w:line="360" w:lineRule="auto"/>
        <w:ind w:left="960"/>
        <w:rPr>
          <w:rFonts w:ascii="Times New Roman" w:hAnsi="Times New Roman"/>
          <w:sz w:val="22"/>
          <w:szCs w:val="22"/>
        </w:rPr>
      </w:pPr>
      <w:r w:rsidRPr="00265408">
        <w:rPr>
          <w:rFonts w:ascii="Times New Roman" w:hAnsi="Times New Roman"/>
          <w:sz w:val="22"/>
          <w:szCs w:val="22"/>
        </w:rPr>
        <w:t>4</w:t>
      </w:r>
      <w:r w:rsidR="00E16922" w:rsidRPr="00265408">
        <w:rPr>
          <w:rFonts w:ascii="Times New Roman" w:hAnsi="Times New Roman"/>
          <w:sz w:val="22"/>
          <w:szCs w:val="22"/>
        </w:rPr>
        <w:t xml:space="preserve">.2 </w:t>
      </w:r>
      <w:r w:rsidR="00954E72" w:rsidRPr="00265408">
        <w:rPr>
          <w:rFonts w:ascii="Times New Roman" w:hAnsi="Times New Roman"/>
          <w:sz w:val="22"/>
          <w:szCs w:val="22"/>
        </w:rPr>
        <w:t>T</w:t>
      </w:r>
      <w:r w:rsidR="000640DA" w:rsidRPr="00265408">
        <w:rPr>
          <w:rFonts w:ascii="Times New Roman" w:hAnsi="Times New Roman"/>
          <w:sz w:val="22"/>
          <w:szCs w:val="22"/>
        </w:rPr>
        <w:t xml:space="preserve">he Bond </w:t>
      </w:r>
      <w:r w:rsidR="00B47864" w:rsidRPr="00265408">
        <w:rPr>
          <w:rFonts w:ascii="Times New Roman" w:hAnsi="Times New Roman"/>
          <w:sz w:val="22"/>
          <w:szCs w:val="22"/>
        </w:rPr>
        <w:t xml:space="preserve">Spread </w:t>
      </w:r>
      <w:r w:rsidR="006C2106" w:rsidRPr="00265408">
        <w:rPr>
          <w:rFonts w:ascii="Times New Roman" w:hAnsi="Times New Roman"/>
          <w:sz w:val="22"/>
          <w:szCs w:val="22"/>
        </w:rPr>
        <w:t xml:space="preserve">and CDS Spread </w:t>
      </w:r>
      <w:r w:rsidR="000640DA" w:rsidRPr="00265408">
        <w:rPr>
          <w:rFonts w:ascii="Times New Roman" w:hAnsi="Times New Roman"/>
          <w:sz w:val="22"/>
          <w:szCs w:val="22"/>
        </w:rPr>
        <w:t>Data</w:t>
      </w:r>
    </w:p>
    <w:p w:rsidR="00D77667" w:rsidRDefault="005526EF" w:rsidP="00EA75DA">
      <w:pPr>
        <w:spacing w:after="0" w:line="360" w:lineRule="auto"/>
        <w:rPr>
          <w:rFonts w:ascii="Times New Roman" w:hAnsi="Times New Roman"/>
        </w:rPr>
      </w:pPr>
      <w:r w:rsidRPr="00994DC2">
        <w:rPr>
          <w:rFonts w:ascii="Times New Roman" w:hAnsi="Times New Roman"/>
        </w:rPr>
        <w:t xml:space="preserve">The data </w:t>
      </w:r>
      <w:r w:rsidR="006741D0" w:rsidRPr="00994DC2">
        <w:rPr>
          <w:rFonts w:ascii="Times New Roman" w:hAnsi="Times New Roman"/>
        </w:rPr>
        <w:t>relating to the</w:t>
      </w:r>
      <w:r w:rsidR="001A5371" w:rsidRPr="00994DC2">
        <w:rPr>
          <w:rFonts w:ascii="Times New Roman" w:hAnsi="Times New Roman"/>
        </w:rPr>
        <w:t xml:space="preserve"> structured finance bond spread</w:t>
      </w:r>
      <w:r w:rsidR="006741D0" w:rsidRPr="00994DC2">
        <w:rPr>
          <w:rFonts w:ascii="Times New Roman" w:hAnsi="Times New Roman"/>
        </w:rPr>
        <w:t xml:space="preserve"> </w:t>
      </w:r>
      <w:r w:rsidRPr="00994DC2">
        <w:rPr>
          <w:rFonts w:ascii="Times New Roman" w:hAnsi="Times New Roman"/>
        </w:rPr>
        <w:t xml:space="preserve">is extracted from </w:t>
      </w:r>
      <w:r w:rsidR="000926B4" w:rsidRPr="00994DC2">
        <w:rPr>
          <w:rFonts w:ascii="Times New Roman" w:hAnsi="Times New Roman"/>
        </w:rPr>
        <w:t xml:space="preserve">the weekly CDS/CDO Update </w:t>
      </w:r>
      <w:r w:rsidR="005D0424">
        <w:rPr>
          <w:rFonts w:ascii="Times New Roman" w:hAnsi="Times New Roman"/>
        </w:rPr>
        <w:t>R</w:t>
      </w:r>
      <w:r w:rsidR="000926B4" w:rsidRPr="00994DC2">
        <w:rPr>
          <w:rFonts w:ascii="Times New Roman" w:hAnsi="Times New Roman"/>
        </w:rPr>
        <w:t>eports published by the Fixed Income Research team at the Japanese bank Nomura</w:t>
      </w:r>
      <w:r w:rsidR="001A5371" w:rsidRPr="00994DC2">
        <w:rPr>
          <w:rFonts w:ascii="Times New Roman" w:hAnsi="Times New Roman"/>
        </w:rPr>
        <w:t xml:space="preserve"> and based on the bank’s weekly CDO pricing pipeline between 2006Q1 and 2007Q3. Of these, only those </w:t>
      </w:r>
      <w:r w:rsidR="001A5371" w:rsidRPr="00356E0E">
        <w:rPr>
          <w:rFonts w:ascii="Times New Roman" w:hAnsi="Times New Roman"/>
          <w:sz w:val="24"/>
        </w:rPr>
        <w:t xml:space="preserve">CDOs consisting of 50% or more residential mortgage or home equity backed notes are considered </w:t>
      </w:r>
      <w:r w:rsidR="001A5371" w:rsidRPr="00994DC2">
        <w:rPr>
          <w:rFonts w:ascii="Times New Roman" w:hAnsi="Times New Roman"/>
        </w:rPr>
        <w:t>and factored for a spread over the appropriate USD 3month LIBOR rate</w:t>
      </w:r>
      <w:r w:rsidR="002276D5" w:rsidRPr="00994DC2">
        <w:rPr>
          <w:rFonts w:ascii="Times New Roman" w:hAnsi="Times New Roman"/>
        </w:rPr>
        <w:t>.</w:t>
      </w:r>
      <w:r w:rsidR="00B53F6D" w:rsidRPr="00994DC2">
        <w:rPr>
          <w:rFonts w:ascii="Times New Roman" w:hAnsi="Times New Roman"/>
        </w:rPr>
        <w:t xml:space="preserve"> </w:t>
      </w:r>
      <w:r w:rsidR="00E16922">
        <w:rPr>
          <w:rFonts w:ascii="Times New Roman" w:hAnsi="Times New Roman"/>
        </w:rPr>
        <w:t xml:space="preserve"> </w:t>
      </w:r>
      <w:r w:rsidR="00AB2FBC" w:rsidRPr="00363744">
        <w:rPr>
          <w:rFonts w:ascii="Times New Roman" w:hAnsi="Times New Roman"/>
        </w:rPr>
        <w:t xml:space="preserve">CDS spreads are taken as those implied in the five sub-indices based on the benchmark rating levels (AAA, AA, A, BBB, and BBB-) of reference obligations of the ABX.HE index launched by </w:t>
      </w:r>
      <w:proofErr w:type="spellStart"/>
      <w:r w:rsidR="00AB2FBC" w:rsidRPr="00363744">
        <w:rPr>
          <w:rFonts w:ascii="Times New Roman" w:hAnsi="Times New Roman"/>
        </w:rPr>
        <w:t>Markit</w:t>
      </w:r>
      <w:proofErr w:type="spellEnd"/>
      <w:r w:rsidR="00AB2FBC" w:rsidRPr="00363744">
        <w:rPr>
          <w:rFonts w:ascii="Times New Roman" w:hAnsi="Times New Roman"/>
        </w:rPr>
        <w:t xml:space="preserve"> in January of 2006</w:t>
      </w:r>
      <w:r w:rsidR="005D0424">
        <w:rPr>
          <w:rFonts w:ascii="Times New Roman" w:hAnsi="Times New Roman"/>
        </w:rPr>
        <w:t xml:space="preserve">. </w:t>
      </w:r>
      <w:r w:rsidR="00DF55FA">
        <w:rPr>
          <w:rFonts w:ascii="Times New Roman" w:hAnsi="Times New Roman"/>
        </w:rPr>
        <w:t xml:space="preserve"> In the </w:t>
      </w:r>
      <w:r w:rsidR="00DF55FA" w:rsidRPr="00363744">
        <w:rPr>
          <w:rFonts w:ascii="Times New Roman" w:hAnsi="Times New Roman"/>
        </w:rPr>
        <w:t>ABX.HE index</w:t>
      </w:r>
      <w:r w:rsidR="00DF55FA">
        <w:rPr>
          <w:rFonts w:ascii="Times New Roman" w:hAnsi="Times New Roman"/>
        </w:rPr>
        <w:t>, f</w:t>
      </w:r>
      <w:r w:rsidR="00AB2FBC">
        <w:rPr>
          <w:rFonts w:ascii="Times New Roman" w:hAnsi="Times New Roman"/>
        </w:rPr>
        <w:t xml:space="preserve">or each year 2 vintages </w:t>
      </w:r>
      <w:r w:rsidR="00E16922">
        <w:rPr>
          <w:rFonts w:ascii="Times New Roman" w:hAnsi="Times New Roman"/>
        </w:rPr>
        <w:t>were</w:t>
      </w:r>
      <w:r w:rsidR="00AB2FBC">
        <w:rPr>
          <w:rFonts w:ascii="Times New Roman" w:hAnsi="Times New Roman"/>
        </w:rPr>
        <w:t xml:space="preserve"> constructed on selected reference subprime RMBS issued 6 months </w:t>
      </w:r>
      <w:r w:rsidR="00DF55FA">
        <w:rPr>
          <w:rFonts w:ascii="Times New Roman" w:hAnsi="Times New Roman"/>
        </w:rPr>
        <w:t>prior to date of the vintage</w:t>
      </w:r>
      <w:r w:rsidR="00AB2FBC">
        <w:rPr>
          <w:rFonts w:ascii="Times New Roman" w:hAnsi="Times New Roman"/>
        </w:rPr>
        <w:t xml:space="preserve">. </w:t>
      </w:r>
      <w:r w:rsidR="005D0424">
        <w:rPr>
          <w:rFonts w:ascii="Times New Roman" w:hAnsi="Times New Roman"/>
        </w:rPr>
        <w:t xml:space="preserve"> </w:t>
      </w:r>
      <w:r w:rsidR="00AB2FBC">
        <w:rPr>
          <w:rFonts w:ascii="Times New Roman" w:hAnsi="Times New Roman"/>
        </w:rPr>
        <w:t>The re</w:t>
      </w:r>
      <w:r w:rsidR="00E16922">
        <w:rPr>
          <w:rFonts w:ascii="Times New Roman" w:hAnsi="Times New Roman"/>
        </w:rPr>
        <w:t xml:space="preserve">investment strategy given in Section </w:t>
      </w:r>
      <w:r w:rsidR="00EB2450">
        <w:rPr>
          <w:rFonts w:ascii="Times New Roman" w:hAnsi="Times New Roman"/>
        </w:rPr>
        <w:t>3.3 for</w:t>
      </w:r>
      <w:r w:rsidR="00AB2FBC">
        <w:rPr>
          <w:rFonts w:ascii="Times New Roman" w:hAnsi="Times New Roman"/>
        </w:rPr>
        <w:t xml:space="preserve"> capital saved and profits from carry trade strategies at the end of each quarter </w:t>
      </w:r>
      <w:r w:rsidR="00EB2450">
        <w:rPr>
          <w:rFonts w:ascii="Times New Roman" w:hAnsi="Times New Roman"/>
        </w:rPr>
        <w:t>is</w:t>
      </w:r>
      <w:r w:rsidR="00AB2FBC">
        <w:rPr>
          <w:rFonts w:ascii="Times New Roman" w:hAnsi="Times New Roman"/>
        </w:rPr>
        <w:t xml:space="preserve"> based on a time series of CDS spreads constructed in the following way</w:t>
      </w:r>
      <w:r w:rsidR="005D0424">
        <w:rPr>
          <w:rFonts w:ascii="Times New Roman" w:hAnsi="Times New Roman"/>
        </w:rPr>
        <w:t>:</w:t>
      </w:r>
      <w:r w:rsidR="00AB2FBC">
        <w:rPr>
          <w:rFonts w:ascii="Times New Roman" w:hAnsi="Times New Roman"/>
        </w:rPr>
        <w:t xml:space="preserve"> </w:t>
      </w:r>
      <w:r w:rsidR="00AB2FBC" w:rsidRPr="00363744">
        <w:rPr>
          <w:rFonts w:ascii="Times New Roman" w:hAnsi="Times New Roman"/>
        </w:rPr>
        <w:t>2006Q1 and 2006Q2 CDS spreads are based on the ABX.HE 2006-01 indexes, 2006Q3 and</w:t>
      </w:r>
      <w:r w:rsidR="005D0424">
        <w:rPr>
          <w:rFonts w:ascii="Times New Roman" w:hAnsi="Times New Roman"/>
        </w:rPr>
        <w:t xml:space="preserve"> 2</w:t>
      </w:r>
      <w:r w:rsidR="00AB2FBC" w:rsidRPr="00363744">
        <w:rPr>
          <w:rFonts w:ascii="Times New Roman" w:hAnsi="Times New Roman"/>
        </w:rPr>
        <w:t xml:space="preserve">006Q4 spreads are based on the ABX.HE </w:t>
      </w:r>
      <w:r w:rsidR="00AB2FBC" w:rsidRPr="00363744">
        <w:rPr>
          <w:rFonts w:ascii="Times New Roman" w:hAnsi="Times New Roman"/>
        </w:rPr>
        <w:lastRenderedPageBreak/>
        <w:t xml:space="preserve">2006-02 indexes and the 2007Q1, 2007Q2 and 2007Q3 spreads are </w:t>
      </w:r>
      <w:r w:rsidR="00AB2FBC">
        <w:rPr>
          <w:rFonts w:ascii="Times New Roman" w:hAnsi="Times New Roman"/>
        </w:rPr>
        <w:t>b</w:t>
      </w:r>
      <w:r w:rsidR="00AB2FBC" w:rsidRPr="00363744">
        <w:rPr>
          <w:rFonts w:ascii="Times New Roman" w:hAnsi="Times New Roman"/>
        </w:rPr>
        <w:t>ased on ABX.HE 2007-01 indexes.</w:t>
      </w:r>
      <w:r w:rsidR="00AB2FBC">
        <w:rPr>
          <w:rFonts w:ascii="Times New Roman" w:hAnsi="Times New Roman"/>
        </w:rPr>
        <w:t xml:space="preserve">  </w:t>
      </w:r>
      <w:r w:rsidR="00AB2FBC" w:rsidRPr="00994DC2">
        <w:rPr>
          <w:rFonts w:ascii="Times New Roman" w:hAnsi="Times New Roman"/>
        </w:rPr>
        <w:t>The resulting</w:t>
      </w:r>
      <w:r w:rsidR="0088477F">
        <w:rPr>
          <w:rFonts w:ascii="Times New Roman" w:hAnsi="Times New Roman"/>
        </w:rPr>
        <w:t xml:space="preserve"> CDS-spreads, CDO-bond spreads and </w:t>
      </w:r>
      <w:r w:rsidR="00AB2FBC" w:rsidRPr="00994DC2">
        <w:rPr>
          <w:rFonts w:ascii="Times New Roman" w:hAnsi="Times New Roman"/>
        </w:rPr>
        <w:t xml:space="preserve">CDS-basis </w:t>
      </w:r>
      <w:r w:rsidR="0088477F">
        <w:rPr>
          <w:rFonts w:ascii="Times New Roman" w:hAnsi="Times New Roman"/>
        </w:rPr>
        <w:t>are</w:t>
      </w:r>
      <w:r w:rsidR="00AB2FBC" w:rsidRPr="00994DC2">
        <w:rPr>
          <w:rFonts w:ascii="Times New Roman" w:hAnsi="Times New Roman"/>
        </w:rPr>
        <w:t xml:space="preserve"> plotted in Figures </w:t>
      </w:r>
      <w:r w:rsidR="008C16F4">
        <w:rPr>
          <w:rFonts w:ascii="Times New Roman" w:hAnsi="Times New Roman"/>
        </w:rPr>
        <w:t>6</w:t>
      </w:r>
      <w:r w:rsidR="00AB2FBC" w:rsidRPr="00994DC2">
        <w:rPr>
          <w:rFonts w:ascii="Times New Roman" w:hAnsi="Times New Roman"/>
        </w:rPr>
        <w:t xml:space="preserve"> and </w:t>
      </w:r>
      <w:r w:rsidR="008C16F4">
        <w:rPr>
          <w:rFonts w:ascii="Times New Roman" w:hAnsi="Times New Roman"/>
        </w:rPr>
        <w:t>7</w:t>
      </w:r>
      <w:r w:rsidR="00AB2FBC">
        <w:rPr>
          <w:rFonts w:ascii="Times New Roman" w:hAnsi="Times New Roman"/>
        </w:rPr>
        <w:t xml:space="preserve">.  </w:t>
      </w:r>
      <w:r w:rsidR="007D56D2">
        <w:rPr>
          <w:rFonts w:ascii="Times New Roman" w:hAnsi="Times New Roman"/>
        </w:rPr>
        <w:t xml:space="preserve">Table 1 gives the CDS basis of all </w:t>
      </w:r>
      <w:r w:rsidR="007D56D2" w:rsidRPr="00363744">
        <w:rPr>
          <w:rFonts w:ascii="Times New Roman" w:hAnsi="Times New Roman"/>
        </w:rPr>
        <w:t xml:space="preserve">ABX.HE </w:t>
      </w:r>
      <w:r w:rsidR="007D56D2">
        <w:rPr>
          <w:rFonts w:ascii="Times New Roman" w:hAnsi="Times New Roman"/>
        </w:rPr>
        <w:t xml:space="preserve">tranches for the sample period. </w:t>
      </w:r>
      <w:r w:rsidR="007D56D2">
        <w:rPr>
          <w:rFonts w:ascii="Times New Roman" w:hAnsi="Times New Roman"/>
        </w:rPr>
        <w:br/>
      </w:r>
      <w:r w:rsidR="00204165">
        <w:rPr>
          <w:rFonts w:ascii="Times New Roman" w:hAnsi="Times New Roman"/>
        </w:rPr>
        <w:br/>
      </w:r>
      <w:r w:rsidR="00D77667">
        <w:rPr>
          <w:rFonts w:ascii="Times New Roman" w:hAnsi="Times New Roman"/>
        </w:rPr>
        <w:t>O</w:t>
      </w:r>
      <w:r w:rsidR="00204165" w:rsidRPr="00994DC2">
        <w:rPr>
          <w:rFonts w:ascii="Times New Roman" w:hAnsi="Times New Roman"/>
        </w:rPr>
        <w:t xml:space="preserve">ver the period of this simulation, the trend was to move from a negative CDS-basis toward a positive CDS basis. Spreads on the BBB-rated tranche of the ABX.HE, for instance, had risen from 121bps </w:t>
      </w:r>
      <w:r w:rsidR="00204165">
        <w:rPr>
          <w:rFonts w:ascii="Times New Roman" w:hAnsi="Times New Roman"/>
        </w:rPr>
        <w:t>in</w:t>
      </w:r>
      <w:r w:rsidR="00204165" w:rsidRPr="00994DC2">
        <w:rPr>
          <w:rFonts w:ascii="Times New Roman" w:hAnsi="Times New Roman"/>
        </w:rPr>
        <w:t xml:space="preserve"> 2006Q1 to 1929bps by 2007Q2</w:t>
      </w:r>
      <w:r w:rsidR="001F2DBD">
        <w:rPr>
          <w:rFonts w:ascii="Times New Roman" w:hAnsi="Times New Roman"/>
        </w:rPr>
        <w:t>,</w:t>
      </w:r>
      <w:r w:rsidR="00204165" w:rsidRPr="00994DC2">
        <w:rPr>
          <w:rFonts w:ascii="Times New Roman" w:hAnsi="Times New Roman"/>
        </w:rPr>
        <w:t xml:space="preserve"> whereas the spreads on the underlying RMBS-CDOs had only risen from 351bps to 602bps over the same period</w:t>
      </w:r>
      <w:r w:rsidR="00204165">
        <w:rPr>
          <w:rFonts w:ascii="Times New Roman" w:hAnsi="Times New Roman"/>
        </w:rPr>
        <w:t>,</w:t>
      </w:r>
      <w:r w:rsidR="00204165" w:rsidRPr="00994DC2">
        <w:rPr>
          <w:rFonts w:ascii="Times New Roman" w:hAnsi="Times New Roman"/>
        </w:rPr>
        <w:t xml:space="preserve"> resulting in a CDS-basis</w:t>
      </w:r>
      <w:r w:rsidR="00204165">
        <w:rPr>
          <w:rFonts w:ascii="Times New Roman" w:hAnsi="Times New Roman"/>
        </w:rPr>
        <w:t xml:space="preserve"> </w:t>
      </w:r>
      <w:r w:rsidR="00204165" w:rsidRPr="00994DC2">
        <w:rPr>
          <w:rFonts w:ascii="Times New Roman" w:hAnsi="Times New Roman"/>
        </w:rPr>
        <w:t xml:space="preserve">change from </w:t>
      </w:r>
    </w:p>
    <w:p w:rsidR="002C6AB8" w:rsidRPr="00204165" w:rsidRDefault="00204165" w:rsidP="002C6AB8">
      <w:pPr>
        <w:spacing w:after="0" w:line="360" w:lineRule="auto"/>
        <w:rPr>
          <w:rFonts w:ascii="Times New Roman" w:hAnsi="Times New Roman"/>
          <w:b/>
        </w:rPr>
      </w:pPr>
      <w:proofErr w:type="gramStart"/>
      <w:r w:rsidRPr="00994DC2">
        <w:rPr>
          <w:rFonts w:ascii="Times New Roman" w:hAnsi="Times New Roman"/>
        </w:rPr>
        <w:t>-230bps at 2006Q1 to 1326bps at 2007Q2.</w:t>
      </w:r>
      <w:proofErr w:type="gramEnd"/>
      <w:r>
        <w:rPr>
          <w:rFonts w:ascii="Times New Roman" w:hAnsi="Times New Roman"/>
        </w:rPr>
        <w:t xml:space="preserve">  </w:t>
      </w:r>
      <w:r w:rsidR="00EA75DA">
        <w:rPr>
          <w:rFonts w:ascii="Times New Roman" w:hAnsi="Times New Roman"/>
        </w:rPr>
        <w:br/>
      </w:r>
      <w:proofErr w:type="gramStart"/>
      <w:r w:rsidR="002C6AB8" w:rsidRPr="00204165">
        <w:rPr>
          <w:rFonts w:ascii="Times New Roman" w:hAnsi="Times New Roman"/>
          <w:b/>
        </w:rPr>
        <w:t xml:space="preserve">Table  </w:t>
      </w:r>
      <w:r w:rsidR="002C6AB8">
        <w:rPr>
          <w:rFonts w:ascii="Times New Roman" w:hAnsi="Times New Roman"/>
          <w:b/>
        </w:rPr>
        <w:t>1</w:t>
      </w:r>
      <w:proofErr w:type="gramEnd"/>
      <w:r w:rsidR="002C6AB8">
        <w:rPr>
          <w:rFonts w:ascii="Times New Roman" w:hAnsi="Times New Roman"/>
          <w:b/>
        </w:rPr>
        <w:t>:</w:t>
      </w:r>
      <w:r w:rsidR="002C6AB8" w:rsidRPr="00204165">
        <w:rPr>
          <w:rFonts w:ascii="Times New Roman" w:hAnsi="Times New Roman"/>
          <w:b/>
        </w:rPr>
        <w:t xml:space="preserve">   CDS Basis Estimated As CDS Spreads Minus CDO Bond Spreads</w:t>
      </w:r>
    </w:p>
    <w:tbl>
      <w:tblPr>
        <w:tblW w:w="9291" w:type="dxa"/>
        <w:tblInd w:w="108" w:type="dxa"/>
        <w:tblLook w:val="04A0"/>
      </w:tblPr>
      <w:tblGrid>
        <w:gridCol w:w="1276"/>
        <w:gridCol w:w="1276"/>
        <w:gridCol w:w="1417"/>
        <w:gridCol w:w="1701"/>
        <w:gridCol w:w="1843"/>
        <w:gridCol w:w="1778"/>
      </w:tblGrid>
      <w:tr w:rsidR="002C6AB8" w:rsidRPr="00204165" w:rsidTr="004D1C61">
        <w:trPr>
          <w:trHeight w:val="315"/>
        </w:trPr>
        <w:tc>
          <w:tcPr>
            <w:tcW w:w="1276" w:type="dxa"/>
            <w:tcBorders>
              <w:top w:val="nil"/>
              <w:left w:val="nil"/>
              <w:bottom w:val="nil"/>
              <w:right w:val="nil"/>
            </w:tcBorders>
            <w:shd w:val="clear" w:color="auto" w:fill="auto"/>
            <w:noWrap/>
            <w:vAlign w:val="bottom"/>
            <w:hideMark/>
          </w:tcPr>
          <w:p w:rsidR="002C6AB8" w:rsidRPr="00204165" w:rsidRDefault="002C6AB8" w:rsidP="004D1C61">
            <w:pPr>
              <w:spacing w:after="0" w:line="240" w:lineRule="auto"/>
              <w:rPr>
                <w:rFonts w:ascii="Times New Roman" w:eastAsia="Times New Roman" w:hAnsi="Times New Roman"/>
                <w:b/>
                <w:color w:val="000000"/>
                <w:lang w:eastAsia="en-GB"/>
              </w:rPr>
            </w:pPr>
            <w:r w:rsidRPr="00204165">
              <w:rPr>
                <w:rFonts w:ascii="Times New Roman" w:eastAsia="Times New Roman" w:hAnsi="Times New Roman"/>
                <w:b/>
                <w:color w:val="000000"/>
                <w:lang w:eastAsia="en-GB"/>
              </w:rPr>
              <w:t xml:space="preserve">      </w:t>
            </w:r>
          </w:p>
        </w:tc>
        <w:tc>
          <w:tcPr>
            <w:tcW w:w="1276" w:type="dxa"/>
            <w:tcBorders>
              <w:top w:val="nil"/>
              <w:left w:val="nil"/>
              <w:bottom w:val="nil"/>
              <w:right w:val="nil"/>
            </w:tcBorders>
            <w:shd w:val="clear" w:color="auto" w:fill="auto"/>
            <w:noWrap/>
            <w:vAlign w:val="bottom"/>
            <w:hideMark/>
          </w:tcPr>
          <w:p w:rsidR="002C6AB8" w:rsidRPr="00204165" w:rsidRDefault="002C6AB8" w:rsidP="004D1C61">
            <w:pPr>
              <w:spacing w:after="0" w:line="240" w:lineRule="auto"/>
              <w:rPr>
                <w:rFonts w:ascii="Times New Roman" w:eastAsia="Times New Roman" w:hAnsi="Times New Roman"/>
                <w:color w:val="000000"/>
                <w:lang w:eastAsia="en-GB"/>
              </w:rPr>
            </w:pPr>
          </w:p>
        </w:tc>
        <w:tc>
          <w:tcPr>
            <w:tcW w:w="1417" w:type="dxa"/>
            <w:tcBorders>
              <w:top w:val="nil"/>
              <w:left w:val="nil"/>
              <w:bottom w:val="nil"/>
              <w:right w:val="nil"/>
            </w:tcBorders>
            <w:shd w:val="clear" w:color="auto" w:fill="auto"/>
            <w:noWrap/>
            <w:vAlign w:val="bottom"/>
            <w:hideMark/>
          </w:tcPr>
          <w:p w:rsidR="002C6AB8" w:rsidRPr="00204165" w:rsidRDefault="002C6AB8" w:rsidP="004D1C61">
            <w:pPr>
              <w:spacing w:after="0" w:line="240" w:lineRule="auto"/>
              <w:rPr>
                <w:rFonts w:ascii="Times New Roman" w:eastAsia="Times New Roman" w:hAnsi="Times New Roman"/>
                <w:color w:val="000000"/>
                <w:lang w:eastAsia="en-GB"/>
              </w:rPr>
            </w:pPr>
          </w:p>
        </w:tc>
        <w:tc>
          <w:tcPr>
            <w:tcW w:w="1701" w:type="dxa"/>
            <w:tcBorders>
              <w:top w:val="nil"/>
              <w:left w:val="nil"/>
              <w:bottom w:val="nil"/>
              <w:right w:val="nil"/>
            </w:tcBorders>
            <w:shd w:val="clear" w:color="auto" w:fill="auto"/>
            <w:noWrap/>
            <w:vAlign w:val="bottom"/>
            <w:hideMark/>
          </w:tcPr>
          <w:p w:rsidR="002C6AB8" w:rsidRPr="00204165" w:rsidRDefault="002C6AB8" w:rsidP="004D1C61">
            <w:pPr>
              <w:spacing w:after="0" w:line="240" w:lineRule="auto"/>
              <w:rPr>
                <w:rFonts w:ascii="Times New Roman" w:eastAsia="Times New Roman" w:hAnsi="Times New Roman"/>
                <w:color w:val="000000"/>
                <w:lang w:eastAsia="en-GB"/>
              </w:rPr>
            </w:pPr>
          </w:p>
        </w:tc>
        <w:tc>
          <w:tcPr>
            <w:tcW w:w="1843" w:type="dxa"/>
            <w:tcBorders>
              <w:top w:val="nil"/>
              <w:left w:val="nil"/>
              <w:bottom w:val="nil"/>
              <w:right w:val="nil"/>
            </w:tcBorders>
            <w:shd w:val="clear" w:color="auto" w:fill="auto"/>
            <w:noWrap/>
            <w:vAlign w:val="bottom"/>
            <w:hideMark/>
          </w:tcPr>
          <w:p w:rsidR="002C6AB8" w:rsidRPr="00204165" w:rsidRDefault="002C6AB8" w:rsidP="004D1C61">
            <w:pPr>
              <w:spacing w:after="0" w:line="240" w:lineRule="auto"/>
              <w:rPr>
                <w:rFonts w:ascii="Times New Roman" w:eastAsia="Times New Roman" w:hAnsi="Times New Roman"/>
                <w:color w:val="000000"/>
                <w:lang w:eastAsia="en-GB"/>
              </w:rPr>
            </w:pPr>
          </w:p>
        </w:tc>
        <w:tc>
          <w:tcPr>
            <w:tcW w:w="1778" w:type="dxa"/>
            <w:tcBorders>
              <w:top w:val="nil"/>
              <w:left w:val="nil"/>
              <w:bottom w:val="nil"/>
              <w:right w:val="nil"/>
            </w:tcBorders>
            <w:shd w:val="clear" w:color="auto" w:fill="auto"/>
            <w:noWrap/>
            <w:vAlign w:val="bottom"/>
            <w:hideMark/>
          </w:tcPr>
          <w:p w:rsidR="002C6AB8" w:rsidRPr="00204165" w:rsidRDefault="002C6AB8" w:rsidP="004D1C61">
            <w:pPr>
              <w:spacing w:after="0" w:line="240" w:lineRule="auto"/>
              <w:rPr>
                <w:rFonts w:ascii="Times New Roman" w:eastAsia="Times New Roman" w:hAnsi="Times New Roman"/>
                <w:color w:val="000000"/>
                <w:lang w:eastAsia="en-GB"/>
              </w:rPr>
            </w:pPr>
          </w:p>
        </w:tc>
      </w:tr>
      <w:tr w:rsidR="002C6AB8" w:rsidRPr="00204165" w:rsidTr="004D1C61">
        <w:trPr>
          <w:trHeight w:val="315"/>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C6AB8" w:rsidRPr="00204165" w:rsidRDefault="002C6AB8" w:rsidP="004D1C61">
            <w:pPr>
              <w:spacing w:after="0" w:line="240" w:lineRule="auto"/>
              <w:rPr>
                <w:rFonts w:ascii="Times New Roman" w:eastAsia="Times New Roman" w:hAnsi="Times New Roman"/>
                <w:color w:val="000000"/>
                <w:lang w:eastAsia="en-GB"/>
              </w:rPr>
            </w:pPr>
            <w:r w:rsidRPr="00204165">
              <w:rPr>
                <w:rFonts w:ascii="Times New Roman" w:eastAsia="Times New Roman" w:hAnsi="Times New Roman"/>
                <w:color w:val="000000"/>
                <w:lang w:eastAsia="en-GB"/>
              </w:rPr>
              <w:t> </w:t>
            </w:r>
          </w:p>
        </w:tc>
        <w:tc>
          <w:tcPr>
            <w:tcW w:w="1276" w:type="dxa"/>
            <w:tcBorders>
              <w:top w:val="single" w:sz="8" w:space="0" w:color="auto"/>
              <w:left w:val="nil"/>
              <w:bottom w:val="single" w:sz="8" w:space="0" w:color="auto"/>
              <w:right w:val="single" w:sz="8" w:space="0" w:color="auto"/>
            </w:tcBorders>
            <w:shd w:val="clear" w:color="auto" w:fill="auto"/>
            <w:noWrap/>
            <w:vAlign w:val="bottom"/>
            <w:hideMark/>
          </w:tcPr>
          <w:p w:rsidR="002C6AB8" w:rsidRPr="00204165" w:rsidRDefault="002C6AB8" w:rsidP="004D1C61">
            <w:pPr>
              <w:spacing w:after="0" w:line="240" w:lineRule="auto"/>
              <w:jc w:val="center"/>
              <w:rPr>
                <w:rFonts w:ascii="Times New Roman" w:eastAsia="Times New Roman" w:hAnsi="Times New Roman"/>
                <w:color w:val="000000"/>
                <w:lang w:eastAsia="en-GB"/>
              </w:rPr>
            </w:pPr>
            <w:r w:rsidRPr="00204165">
              <w:rPr>
                <w:rFonts w:ascii="Times New Roman" w:eastAsia="Times New Roman" w:hAnsi="Times New Roman"/>
                <w:color w:val="000000"/>
                <w:lang w:eastAsia="en-GB"/>
              </w:rPr>
              <w:t>AAA</w:t>
            </w:r>
          </w:p>
        </w:tc>
        <w:tc>
          <w:tcPr>
            <w:tcW w:w="1417" w:type="dxa"/>
            <w:tcBorders>
              <w:top w:val="single" w:sz="8" w:space="0" w:color="auto"/>
              <w:left w:val="nil"/>
              <w:bottom w:val="single" w:sz="8" w:space="0" w:color="auto"/>
              <w:right w:val="single" w:sz="8" w:space="0" w:color="auto"/>
            </w:tcBorders>
            <w:shd w:val="clear" w:color="auto" w:fill="auto"/>
            <w:noWrap/>
            <w:vAlign w:val="bottom"/>
            <w:hideMark/>
          </w:tcPr>
          <w:p w:rsidR="002C6AB8" w:rsidRPr="00204165" w:rsidRDefault="002C6AB8" w:rsidP="004D1C61">
            <w:pPr>
              <w:spacing w:after="0" w:line="240" w:lineRule="auto"/>
              <w:jc w:val="center"/>
              <w:rPr>
                <w:rFonts w:ascii="Times New Roman" w:eastAsia="Times New Roman" w:hAnsi="Times New Roman"/>
                <w:color w:val="000000"/>
                <w:lang w:eastAsia="en-GB"/>
              </w:rPr>
            </w:pPr>
            <w:r w:rsidRPr="00204165">
              <w:rPr>
                <w:rFonts w:ascii="Times New Roman" w:eastAsia="Times New Roman" w:hAnsi="Times New Roman"/>
                <w:color w:val="000000"/>
                <w:lang w:eastAsia="en-GB"/>
              </w:rPr>
              <w:t>AA</w:t>
            </w:r>
          </w:p>
        </w:tc>
        <w:tc>
          <w:tcPr>
            <w:tcW w:w="1701" w:type="dxa"/>
            <w:tcBorders>
              <w:top w:val="single" w:sz="8" w:space="0" w:color="auto"/>
              <w:left w:val="nil"/>
              <w:bottom w:val="single" w:sz="8" w:space="0" w:color="auto"/>
              <w:right w:val="single" w:sz="8" w:space="0" w:color="auto"/>
            </w:tcBorders>
            <w:shd w:val="clear" w:color="auto" w:fill="auto"/>
            <w:noWrap/>
            <w:vAlign w:val="bottom"/>
            <w:hideMark/>
          </w:tcPr>
          <w:p w:rsidR="002C6AB8" w:rsidRPr="00204165" w:rsidRDefault="002C6AB8" w:rsidP="004D1C61">
            <w:pPr>
              <w:spacing w:after="0" w:line="240" w:lineRule="auto"/>
              <w:jc w:val="center"/>
              <w:rPr>
                <w:rFonts w:ascii="Times New Roman" w:eastAsia="Times New Roman" w:hAnsi="Times New Roman"/>
                <w:color w:val="000000"/>
                <w:lang w:eastAsia="en-GB"/>
              </w:rPr>
            </w:pPr>
            <w:r w:rsidRPr="00204165">
              <w:rPr>
                <w:rFonts w:ascii="Times New Roman" w:eastAsia="Times New Roman" w:hAnsi="Times New Roman"/>
                <w:color w:val="000000"/>
                <w:lang w:eastAsia="en-GB"/>
              </w:rPr>
              <w:t>A</w:t>
            </w:r>
          </w:p>
        </w:tc>
        <w:tc>
          <w:tcPr>
            <w:tcW w:w="1843" w:type="dxa"/>
            <w:tcBorders>
              <w:top w:val="single" w:sz="8" w:space="0" w:color="auto"/>
              <w:left w:val="nil"/>
              <w:bottom w:val="single" w:sz="8" w:space="0" w:color="auto"/>
              <w:right w:val="single" w:sz="8" w:space="0" w:color="auto"/>
            </w:tcBorders>
            <w:shd w:val="clear" w:color="auto" w:fill="auto"/>
            <w:noWrap/>
            <w:vAlign w:val="bottom"/>
            <w:hideMark/>
          </w:tcPr>
          <w:p w:rsidR="002C6AB8" w:rsidRPr="00204165" w:rsidRDefault="002C6AB8" w:rsidP="004D1C61">
            <w:pPr>
              <w:spacing w:after="0" w:line="240" w:lineRule="auto"/>
              <w:jc w:val="center"/>
              <w:rPr>
                <w:rFonts w:ascii="Times New Roman" w:eastAsia="Times New Roman" w:hAnsi="Times New Roman"/>
                <w:color w:val="000000"/>
                <w:lang w:eastAsia="en-GB"/>
              </w:rPr>
            </w:pPr>
            <w:r w:rsidRPr="00204165">
              <w:rPr>
                <w:rFonts w:ascii="Times New Roman" w:eastAsia="Times New Roman" w:hAnsi="Times New Roman"/>
                <w:color w:val="000000"/>
                <w:lang w:eastAsia="en-GB"/>
              </w:rPr>
              <w:t>BBB</w:t>
            </w:r>
          </w:p>
        </w:tc>
        <w:tc>
          <w:tcPr>
            <w:tcW w:w="1778" w:type="dxa"/>
            <w:tcBorders>
              <w:top w:val="single" w:sz="8" w:space="0" w:color="auto"/>
              <w:left w:val="nil"/>
              <w:bottom w:val="single" w:sz="8" w:space="0" w:color="auto"/>
              <w:right w:val="single" w:sz="8" w:space="0" w:color="auto"/>
            </w:tcBorders>
            <w:shd w:val="clear" w:color="auto" w:fill="auto"/>
            <w:noWrap/>
            <w:vAlign w:val="bottom"/>
            <w:hideMark/>
          </w:tcPr>
          <w:p w:rsidR="002C6AB8" w:rsidRPr="00204165" w:rsidRDefault="002C6AB8" w:rsidP="004D1C61">
            <w:pPr>
              <w:spacing w:after="0" w:line="240" w:lineRule="auto"/>
              <w:jc w:val="center"/>
              <w:rPr>
                <w:rFonts w:ascii="Times New Roman" w:eastAsia="Times New Roman" w:hAnsi="Times New Roman"/>
                <w:color w:val="000000"/>
                <w:lang w:eastAsia="en-GB"/>
              </w:rPr>
            </w:pPr>
            <w:r w:rsidRPr="00204165">
              <w:rPr>
                <w:rFonts w:ascii="Times New Roman" w:eastAsia="Times New Roman" w:hAnsi="Times New Roman"/>
                <w:color w:val="000000"/>
                <w:lang w:eastAsia="en-GB"/>
              </w:rPr>
              <w:t>BBB-</w:t>
            </w:r>
          </w:p>
        </w:tc>
      </w:tr>
      <w:tr w:rsidR="002C6AB8" w:rsidRPr="00204165" w:rsidTr="004D1C61">
        <w:trPr>
          <w:trHeight w:val="315"/>
        </w:trPr>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2C6AB8" w:rsidRPr="00204165" w:rsidRDefault="002C6AB8" w:rsidP="004D1C61">
            <w:pPr>
              <w:spacing w:after="0" w:line="240" w:lineRule="auto"/>
              <w:rPr>
                <w:rFonts w:ascii="Times New Roman" w:eastAsia="Times New Roman" w:hAnsi="Times New Roman"/>
                <w:color w:val="000000"/>
                <w:lang w:eastAsia="en-GB"/>
              </w:rPr>
            </w:pPr>
            <w:r w:rsidRPr="00204165">
              <w:rPr>
                <w:rFonts w:ascii="Times New Roman" w:eastAsia="Times New Roman" w:hAnsi="Times New Roman"/>
                <w:color w:val="000000"/>
                <w:lang w:eastAsia="en-GB"/>
              </w:rPr>
              <w:t>Q1 2006</w:t>
            </w:r>
          </w:p>
        </w:tc>
        <w:tc>
          <w:tcPr>
            <w:tcW w:w="1276" w:type="dxa"/>
            <w:tcBorders>
              <w:top w:val="nil"/>
              <w:left w:val="nil"/>
              <w:bottom w:val="single" w:sz="8" w:space="0" w:color="auto"/>
              <w:right w:val="single" w:sz="8" w:space="0" w:color="auto"/>
            </w:tcBorders>
            <w:shd w:val="clear" w:color="auto" w:fill="auto"/>
            <w:noWrap/>
            <w:vAlign w:val="bottom"/>
            <w:hideMark/>
          </w:tcPr>
          <w:p w:rsidR="002C6AB8" w:rsidRPr="00204165" w:rsidRDefault="002C6AB8" w:rsidP="004D1C61">
            <w:pPr>
              <w:spacing w:after="0" w:line="240" w:lineRule="auto"/>
              <w:jc w:val="center"/>
              <w:rPr>
                <w:rFonts w:ascii="Times New Roman" w:eastAsia="Times New Roman" w:hAnsi="Times New Roman"/>
                <w:color w:val="000000"/>
                <w:lang w:eastAsia="en-GB"/>
              </w:rPr>
            </w:pPr>
            <w:r w:rsidRPr="00204165">
              <w:rPr>
                <w:rFonts w:ascii="Times New Roman" w:eastAsia="Times New Roman" w:hAnsi="Times New Roman"/>
                <w:color w:val="000000"/>
                <w:lang w:eastAsia="en-GB"/>
              </w:rPr>
              <w:t>-15.8</w:t>
            </w:r>
          </w:p>
        </w:tc>
        <w:tc>
          <w:tcPr>
            <w:tcW w:w="1417" w:type="dxa"/>
            <w:tcBorders>
              <w:top w:val="nil"/>
              <w:left w:val="nil"/>
              <w:bottom w:val="single" w:sz="8" w:space="0" w:color="auto"/>
              <w:right w:val="single" w:sz="8" w:space="0" w:color="auto"/>
            </w:tcBorders>
            <w:shd w:val="clear" w:color="auto" w:fill="auto"/>
            <w:noWrap/>
            <w:vAlign w:val="bottom"/>
            <w:hideMark/>
          </w:tcPr>
          <w:p w:rsidR="002C6AB8" w:rsidRPr="00204165" w:rsidRDefault="002C6AB8" w:rsidP="004D1C61">
            <w:pPr>
              <w:spacing w:after="0" w:line="240" w:lineRule="auto"/>
              <w:jc w:val="center"/>
              <w:rPr>
                <w:rFonts w:ascii="Times New Roman" w:eastAsia="Times New Roman" w:hAnsi="Times New Roman"/>
                <w:color w:val="000000"/>
                <w:lang w:eastAsia="en-GB"/>
              </w:rPr>
            </w:pPr>
            <w:r w:rsidRPr="00204165">
              <w:rPr>
                <w:rFonts w:ascii="Times New Roman" w:eastAsia="Times New Roman" w:hAnsi="Times New Roman"/>
                <w:color w:val="000000"/>
                <w:lang w:eastAsia="en-GB"/>
              </w:rPr>
              <w:t>-37.9</w:t>
            </w:r>
          </w:p>
        </w:tc>
        <w:tc>
          <w:tcPr>
            <w:tcW w:w="1701" w:type="dxa"/>
            <w:tcBorders>
              <w:top w:val="nil"/>
              <w:left w:val="nil"/>
              <w:bottom w:val="single" w:sz="8" w:space="0" w:color="auto"/>
              <w:right w:val="single" w:sz="8" w:space="0" w:color="auto"/>
            </w:tcBorders>
            <w:shd w:val="clear" w:color="auto" w:fill="auto"/>
            <w:noWrap/>
            <w:vAlign w:val="bottom"/>
            <w:hideMark/>
          </w:tcPr>
          <w:p w:rsidR="002C6AB8" w:rsidRPr="00204165" w:rsidRDefault="002C6AB8" w:rsidP="004D1C61">
            <w:pPr>
              <w:spacing w:after="0" w:line="240" w:lineRule="auto"/>
              <w:jc w:val="center"/>
              <w:rPr>
                <w:rFonts w:ascii="Times New Roman" w:eastAsia="Times New Roman" w:hAnsi="Times New Roman"/>
                <w:color w:val="000000"/>
                <w:lang w:eastAsia="en-GB"/>
              </w:rPr>
            </w:pPr>
            <w:r w:rsidRPr="00204165">
              <w:rPr>
                <w:rFonts w:ascii="Times New Roman" w:eastAsia="Times New Roman" w:hAnsi="Times New Roman"/>
                <w:color w:val="000000"/>
                <w:lang w:eastAsia="en-GB"/>
              </w:rPr>
              <w:t>-73.52</w:t>
            </w:r>
          </w:p>
        </w:tc>
        <w:tc>
          <w:tcPr>
            <w:tcW w:w="1843" w:type="dxa"/>
            <w:tcBorders>
              <w:top w:val="nil"/>
              <w:left w:val="nil"/>
              <w:bottom w:val="single" w:sz="8" w:space="0" w:color="auto"/>
              <w:right w:val="single" w:sz="8" w:space="0" w:color="auto"/>
            </w:tcBorders>
            <w:shd w:val="clear" w:color="auto" w:fill="auto"/>
            <w:noWrap/>
            <w:vAlign w:val="bottom"/>
            <w:hideMark/>
          </w:tcPr>
          <w:p w:rsidR="002C6AB8" w:rsidRPr="00204165" w:rsidRDefault="002C6AB8" w:rsidP="004D1C61">
            <w:pPr>
              <w:spacing w:after="0" w:line="240" w:lineRule="auto"/>
              <w:jc w:val="center"/>
              <w:rPr>
                <w:rFonts w:ascii="Times New Roman" w:eastAsia="Times New Roman" w:hAnsi="Times New Roman"/>
                <w:color w:val="000000"/>
                <w:lang w:eastAsia="en-GB"/>
              </w:rPr>
            </w:pPr>
            <w:r w:rsidRPr="00204165">
              <w:rPr>
                <w:rFonts w:ascii="Times New Roman" w:eastAsia="Times New Roman" w:hAnsi="Times New Roman"/>
                <w:color w:val="000000"/>
                <w:lang w:eastAsia="en-GB"/>
              </w:rPr>
              <w:t>-230.05</w:t>
            </w:r>
          </w:p>
        </w:tc>
        <w:tc>
          <w:tcPr>
            <w:tcW w:w="1778" w:type="dxa"/>
            <w:tcBorders>
              <w:top w:val="nil"/>
              <w:left w:val="nil"/>
              <w:bottom w:val="single" w:sz="8" w:space="0" w:color="auto"/>
              <w:right w:val="single" w:sz="8" w:space="0" w:color="auto"/>
            </w:tcBorders>
            <w:shd w:val="clear" w:color="auto" w:fill="auto"/>
            <w:noWrap/>
            <w:vAlign w:val="bottom"/>
            <w:hideMark/>
          </w:tcPr>
          <w:p w:rsidR="002C6AB8" w:rsidRPr="00204165" w:rsidRDefault="002C6AB8" w:rsidP="004D1C61">
            <w:pPr>
              <w:spacing w:after="0" w:line="240" w:lineRule="auto"/>
              <w:jc w:val="center"/>
              <w:rPr>
                <w:rFonts w:ascii="Times New Roman" w:eastAsia="Times New Roman" w:hAnsi="Times New Roman"/>
                <w:color w:val="000000"/>
                <w:lang w:eastAsia="en-GB"/>
              </w:rPr>
            </w:pPr>
            <w:r w:rsidRPr="00204165">
              <w:rPr>
                <w:rFonts w:ascii="Times New Roman" w:eastAsia="Times New Roman" w:hAnsi="Times New Roman"/>
                <w:color w:val="000000"/>
                <w:lang w:eastAsia="en-GB"/>
              </w:rPr>
              <w:t>-177.84</w:t>
            </w:r>
          </w:p>
        </w:tc>
      </w:tr>
      <w:tr w:rsidR="002C6AB8" w:rsidRPr="00204165" w:rsidTr="004D1C61">
        <w:trPr>
          <w:trHeight w:val="315"/>
        </w:trPr>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2C6AB8" w:rsidRPr="00204165" w:rsidRDefault="002C6AB8" w:rsidP="004D1C61">
            <w:pPr>
              <w:spacing w:after="0" w:line="240" w:lineRule="auto"/>
              <w:rPr>
                <w:rFonts w:ascii="Times New Roman" w:eastAsia="Times New Roman" w:hAnsi="Times New Roman"/>
                <w:color w:val="000000"/>
                <w:lang w:eastAsia="en-GB"/>
              </w:rPr>
            </w:pPr>
            <w:r w:rsidRPr="00204165">
              <w:rPr>
                <w:rFonts w:ascii="Times New Roman" w:eastAsia="Times New Roman" w:hAnsi="Times New Roman"/>
                <w:color w:val="000000"/>
                <w:lang w:eastAsia="en-GB"/>
              </w:rPr>
              <w:t>Q2 2006</w:t>
            </w:r>
          </w:p>
        </w:tc>
        <w:tc>
          <w:tcPr>
            <w:tcW w:w="1276" w:type="dxa"/>
            <w:tcBorders>
              <w:top w:val="nil"/>
              <w:left w:val="nil"/>
              <w:bottom w:val="single" w:sz="8" w:space="0" w:color="auto"/>
              <w:right w:val="single" w:sz="8" w:space="0" w:color="auto"/>
            </w:tcBorders>
            <w:shd w:val="clear" w:color="auto" w:fill="auto"/>
            <w:noWrap/>
            <w:vAlign w:val="bottom"/>
            <w:hideMark/>
          </w:tcPr>
          <w:p w:rsidR="002C6AB8" w:rsidRPr="00204165" w:rsidRDefault="002C6AB8" w:rsidP="004D1C61">
            <w:pPr>
              <w:spacing w:after="0" w:line="240" w:lineRule="auto"/>
              <w:jc w:val="center"/>
              <w:rPr>
                <w:rFonts w:ascii="Times New Roman" w:eastAsia="Times New Roman" w:hAnsi="Times New Roman"/>
                <w:color w:val="000000"/>
                <w:lang w:eastAsia="en-GB"/>
              </w:rPr>
            </w:pPr>
            <w:r w:rsidRPr="00204165">
              <w:rPr>
                <w:rFonts w:ascii="Times New Roman" w:eastAsia="Times New Roman" w:hAnsi="Times New Roman"/>
                <w:color w:val="000000"/>
                <w:lang w:eastAsia="en-GB"/>
              </w:rPr>
              <w:t>-14.46</w:t>
            </w:r>
          </w:p>
        </w:tc>
        <w:tc>
          <w:tcPr>
            <w:tcW w:w="1417" w:type="dxa"/>
            <w:tcBorders>
              <w:top w:val="nil"/>
              <w:left w:val="nil"/>
              <w:bottom w:val="single" w:sz="8" w:space="0" w:color="auto"/>
              <w:right w:val="single" w:sz="8" w:space="0" w:color="auto"/>
            </w:tcBorders>
            <w:shd w:val="clear" w:color="auto" w:fill="auto"/>
            <w:noWrap/>
            <w:vAlign w:val="bottom"/>
            <w:hideMark/>
          </w:tcPr>
          <w:p w:rsidR="002C6AB8" w:rsidRPr="00204165" w:rsidRDefault="002C6AB8" w:rsidP="004D1C61">
            <w:pPr>
              <w:spacing w:after="0" w:line="240" w:lineRule="auto"/>
              <w:jc w:val="center"/>
              <w:rPr>
                <w:rFonts w:ascii="Times New Roman" w:eastAsia="Times New Roman" w:hAnsi="Times New Roman"/>
                <w:color w:val="000000"/>
                <w:lang w:eastAsia="en-GB"/>
              </w:rPr>
            </w:pPr>
            <w:r w:rsidRPr="00204165">
              <w:rPr>
                <w:rFonts w:ascii="Times New Roman" w:eastAsia="Times New Roman" w:hAnsi="Times New Roman"/>
                <w:color w:val="000000"/>
                <w:lang w:eastAsia="en-GB"/>
              </w:rPr>
              <w:t>-33.31</w:t>
            </w:r>
          </w:p>
        </w:tc>
        <w:tc>
          <w:tcPr>
            <w:tcW w:w="1701" w:type="dxa"/>
            <w:tcBorders>
              <w:top w:val="nil"/>
              <w:left w:val="nil"/>
              <w:bottom w:val="single" w:sz="8" w:space="0" w:color="auto"/>
              <w:right w:val="single" w:sz="8" w:space="0" w:color="auto"/>
            </w:tcBorders>
            <w:shd w:val="clear" w:color="auto" w:fill="auto"/>
            <w:noWrap/>
            <w:vAlign w:val="bottom"/>
            <w:hideMark/>
          </w:tcPr>
          <w:p w:rsidR="002C6AB8" w:rsidRPr="00204165" w:rsidRDefault="002C6AB8" w:rsidP="004D1C61">
            <w:pPr>
              <w:spacing w:after="0" w:line="240" w:lineRule="auto"/>
              <w:jc w:val="center"/>
              <w:rPr>
                <w:rFonts w:ascii="Times New Roman" w:eastAsia="Times New Roman" w:hAnsi="Times New Roman"/>
                <w:color w:val="000000"/>
                <w:lang w:eastAsia="en-GB"/>
              </w:rPr>
            </w:pPr>
            <w:r w:rsidRPr="00204165">
              <w:rPr>
                <w:rFonts w:ascii="Times New Roman" w:eastAsia="Times New Roman" w:hAnsi="Times New Roman"/>
                <w:color w:val="000000"/>
                <w:lang w:eastAsia="en-GB"/>
              </w:rPr>
              <w:t>-86.15</w:t>
            </w:r>
          </w:p>
        </w:tc>
        <w:tc>
          <w:tcPr>
            <w:tcW w:w="1843" w:type="dxa"/>
            <w:tcBorders>
              <w:top w:val="nil"/>
              <w:left w:val="nil"/>
              <w:bottom w:val="single" w:sz="8" w:space="0" w:color="auto"/>
              <w:right w:val="single" w:sz="8" w:space="0" w:color="auto"/>
            </w:tcBorders>
            <w:shd w:val="clear" w:color="auto" w:fill="auto"/>
            <w:noWrap/>
            <w:vAlign w:val="bottom"/>
            <w:hideMark/>
          </w:tcPr>
          <w:p w:rsidR="002C6AB8" w:rsidRPr="00204165" w:rsidRDefault="002C6AB8" w:rsidP="004D1C61">
            <w:pPr>
              <w:spacing w:after="0" w:line="240" w:lineRule="auto"/>
              <w:jc w:val="center"/>
              <w:rPr>
                <w:rFonts w:ascii="Times New Roman" w:eastAsia="Times New Roman" w:hAnsi="Times New Roman"/>
                <w:color w:val="000000"/>
                <w:lang w:eastAsia="en-GB"/>
              </w:rPr>
            </w:pPr>
            <w:r w:rsidRPr="00204165">
              <w:rPr>
                <w:rFonts w:ascii="Times New Roman" w:eastAsia="Times New Roman" w:hAnsi="Times New Roman"/>
                <w:color w:val="000000"/>
                <w:lang w:eastAsia="en-GB"/>
              </w:rPr>
              <w:t>-156.86</w:t>
            </w:r>
          </w:p>
        </w:tc>
        <w:tc>
          <w:tcPr>
            <w:tcW w:w="1778" w:type="dxa"/>
            <w:tcBorders>
              <w:top w:val="nil"/>
              <w:left w:val="nil"/>
              <w:bottom w:val="single" w:sz="8" w:space="0" w:color="auto"/>
              <w:right w:val="single" w:sz="8" w:space="0" w:color="auto"/>
            </w:tcBorders>
            <w:shd w:val="clear" w:color="auto" w:fill="auto"/>
            <w:noWrap/>
            <w:vAlign w:val="bottom"/>
            <w:hideMark/>
          </w:tcPr>
          <w:p w:rsidR="002C6AB8" w:rsidRPr="00204165" w:rsidRDefault="002C6AB8" w:rsidP="004D1C61">
            <w:pPr>
              <w:spacing w:after="0" w:line="240" w:lineRule="auto"/>
              <w:jc w:val="center"/>
              <w:rPr>
                <w:rFonts w:ascii="Times New Roman" w:eastAsia="Times New Roman" w:hAnsi="Times New Roman"/>
                <w:color w:val="000000"/>
                <w:lang w:eastAsia="en-GB"/>
              </w:rPr>
            </w:pPr>
            <w:r w:rsidRPr="00204165">
              <w:rPr>
                <w:rFonts w:ascii="Times New Roman" w:eastAsia="Times New Roman" w:hAnsi="Times New Roman"/>
                <w:color w:val="000000"/>
                <w:lang w:eastAsia="en-GB"/>
              </w:rPr>
              <w:t>-74.82</w:t>
            </w:r>
          </w:p>
        </w:tc>
      </w:tr>
      <w:tr w:rsidR="002C6AB8" w:rsidRPr="00204165" w:rsidTr="004D1C61">
        <w:trPr>
          <w:trHeight w:val="315"/>
        </w:trPr>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2C6AB8" w:rsidRPr="00204165" w:rsidRDefault="002C6AB8" w:rsidP="004D1C61">
            <w:pPr>
              <w:spacing w:after="0" w:line="240" w:lineRule="auto"/>
              <w:rPr>
                <w:rFonts w:ascii="Times New Roman" w:eastAsia="Times New Roman" w:hAnsi="Times New Roman"/>
                <w:color w:val="000000"/>
                <w:lang w:eastAsia="en-GB"/>
              </w:rPr>
            </w:pPr>
            <w:r w:rsidRPr="00204165">
              <w:rPr>
                <w:rFonts w:ascii="Times New Roman" w:eastAsia="Times New Roman" w:hAnsi="Times New Roman"/>
                <w:color w:val="000000"/>
                <w:lang w:eastAsia="en-GB"/>
              </w:rPr>
              <w:t>Q3 2006</w:t>
            </w:r>
          </w:p>
        </w:tc>
        <w:tc>
          <w:tcPr>
            <w:tcW w:w="1276" w:type="dxa"/>
            <w:tcBorders>
              <w:top w:val="nil"/>
              <w:left w:val="nil"/>
              <w:bottom w:val="single" w:sz="8" w:space="0" w:color="auto"/>
              <w:right w:val="single" w:sz="8" w:space="0" w:color="auto"/>
            </w:tcBorders>
            <w:shd w:val="clear" w:color="auto" w:fill="auto"/>
            <w:noWrap/>
            <w:vAlign w:val="bottom"/>
            <w:hideMark/>
          </w:tcPr>
          <w:p w:rsidR="002C6AB8" w:rsidRPr="00204165" w:rsidRDefault="002C6AB8" w:rsidP="004D1C61">
            <w:pPr>
              <w:spacing w:after="0" w:line="240" w:lineRule="auto"/>
              <w:jc w:val="center"/>
              <w:rPr>
                <w:rFonts w:ascii="Times New Roman" w:eastAsia="Times New Roman" w:hAnsi="Times New Roman"/>
                <w:color w:val="000000"/>
                <w:lang w:eastAsia="en-GB"/>
              </w:rPr>
            </w:pPr>
            <w:r w:rsidRPr="00204165">
              <w:rPr>
                <w:rFonts w:ascii="Times New Roman" w:eastAsia="Times New Roman" w:hAnsi="Times New Roman"/>
                <w:color w:val="000000"/>
                <w:lang w:eastAsia="en-GB"/>
              </w:rPr>
              <w:t>-17.19</w:t>
            </w:r>
          </w:p>
        </w:tc>
        <w:tc>
          <w:tcPr>
            <w:tcW w:w="1417" w:type="dxa"/>
            <w:tcBorders>
              <w:top w:val="nil"/>
              <w:left w:val="nil"/>
              <w:bottom w:val="single" w:sz="8" w:space="0" w:color="auto"/>
              <w:right w:val="single" w:sz="8" w:space="0" w:color="auto"/>
            </w:tcBorders>
            <w:shd w:val="clear" w:color="auto" w:fill="auto"/>
            <w:noWrap/>
            <w:vAlign w:val="bottom"/>
            <w:hideMark/>
          </w:tcPr>
          <w:p w:rsidR="002C6AB8" w:rsidRPr="00204165" w:rsidRDefault="002C6AB8" w:rsidP="004D1C61">
            <w:pPr>
              <w:spacing w:after="0" w:line="240" w:lineRule="auto"/>
              <w:jc w:val="center"/>
              <w:rPr>
                <w:rFonts w:ascii="Times New Roman" w:eastAsia="Times New Roman" w:hAnsi="Times New Roman"/>
                <w:color w:val="000000"/>
                <w:lang w:eastAsia="en-GB"/>
              </w:rPr>
            </w:pPr>
            <w:r w:rsidRPr="00204165">
              <w:rPr>
                <w:rFonts w:ascii="Times New Roman" w:eastAsia="Times New Roman" w:hAnsi="Times New Roman"/>
                <w:color w:val="000000"/>
                <w:lang w:eastAsia="en-GB"/>
              </w:rPr>
              <w:t>-38.47</w:t>
            </w:r>
          </w:p>
        </w:tc>
        <w:tc>
          <w:tcPr>
            <w:tcW w:w="1701" w:type="dxa"/>
            <w:tcBorders>
              <w:top w:val="nil"/>
              <w:left w:val="nil"/>
              <w:bottom w:val="single" w:sz="8" w:space="0" w:color="auto"/>
              <w:right w:val="single" w:sz="8" w:space="0" w:color="auto"/>
            </w:tcBorders>
            <w:shd w:val="clear" w:color="auto" w:fill="auto"/>
            <w:noWrap/>
            <w:vAlign w:val="bottom"/>
            <w:hideMark/>
          </w:tcPr>
          <w:p w:rsidR="002C6AB8" w:rsidRPr="00204165" w:rsidRDefault="002C6AB8" w:rsidP="004D1C61">
            <w:pPr>
              <w:spacing w:after="0" w:line="240" w:lineRule="auto"/>
              <w:jc w:val="center"/>
              <w:rPr>
                <w:rFonts w:ascii="Times New Roman" w:eastAsia="Times New Roman" w:hAnsi="Times New Roman"/>
                <w:color w:val="000000"/>
                <w:lang w:eastAsia="en-GB"/>
              </w:rPr>
            </w:pPr>
            <w:r w:rsidRPr="00204165">
              <w:rPr>
                <w:rFonts w:ascii="Times New Roman" w:eastAsia="Times New Roman" w:hAnsi="Times New Roman"/>
                <w:color w:val="000000"/>
                <w:lang w:eastAsia="en-GB"/>
              </w:rPr>
              <w:t>-94.29</w:t>
            </w:r>
          </w:p>
        </w:tc>
        <w:tc>
          <w:tcPr>
            <w:tcW w:w="1843" w:type="dxa"/>
            <w:tcBorders>
              <w:top w:val="nil"/>
              <w:left w:val="nil"/>
              <w:bottom w:val="single" w:sz="8" w:space="0" w:color="auto"/>
              <w:right w:val="single" w:sz="8" w:space="0" w:color="auto"/>
            </w:tcBorders>
            <w:shd w:val="clear" w:color="auto" w:fill="auto"/>
            <w:noWrap/>
            <w:vAlign w:val="bottom"/>
            <w:hideMark/>
          </w:tcPr>
          <w:p w:rsidR="002C6AB8" w:rsidRPr="00204165" w:rsidRDefault="002C6AB8" w:rsidP="004D1C61">
            <w:pPr>
              <w:spacing w:after="0" w:line="240" w:lineRule="auto"/>
              <w:jc w:val="center"/>
              <w:rPr>
                <w:rFonts w:ascii="Times New Roman" w:eastAsia="Times New Roman" w:hAnsi="Times New Roman"/>
                <w:color w:val="000000"/>
                <w:lang w:eastAsia="en-GB"/>
              </w:rPr>
            </w:pPr>
            <w:r w:rsidRPr="00204165">
              <w:rPr>
                <w:rFonts w:ascii="Times New Roman" w:eastAsia="Times New Roman" w:hAnsi="Times New Roman"/>
                <w:color w:val="000000"/>
                <w:lang w:eastAsia="en-GB"/>
              </w:rPr>
              <w:t>-84.81</w:t>
            </w:r>
          </w:p>
        </w:tc>
        <w:tc>
          <w:tcPr>
            <w:tcW w:w="1778" w:type="dxa"/>
            <w:tcBorders>
              <w:top w:val="nil"/>
              <w:left w:val="nil"/>
              <w:bottom w:val="single" w:sz="8" w:space="0" w:color="auto"/>
              <w:right w:val="single" w:sz="8" w:space="0" w:color="auto"/>
            </w:tcBorders>
            <w:shd w:val="clear" w:color="auto" w:fill="auto"/>
            <w:noWrap/>
            <w:vAlign w:val="bottom"/>
            <w:hideMark/>
          </w:tcPr>
          <w:p w:rsidR="002C6AB8" w:rsidRPr="00204165" w:rsidRDefault="002C6AB8" w:rsidP="004D1C61">
            <w:pPr>
              <w:spacing w:after="0" w:line="240" w:lineRule="auto"/>
              <w:jc w:val="center"/>
              <w:rPr>
                <w:rFonts w:ascii="Times New Roman" w:eastAsia="Times New Roman" w:hAnsi="Times New Roman"/>
                <w:color w:val="000000"/>
                <w:lang w:eastAsia="en-GB"/>
              </w:rPr>
            </w:pPr>
            <w:r w:rsidRPr="00204165">
              <w:rPr>
                <w:rFonts w:ascii="Times New Roman" w:eastAsia="Times New Roman" w:hAnsi="Times New Roman"/>
                <w:color w:val="000000"/>
                <w:lang w:eastAsia="en-GB"/>
              </w:rPr>
              <w:t>-113.08</w:t>
            </w:r>
          </w:p>
        </w:tc>
      </w:tr>
      <w:tr w:rsidR="002C6AB8" w:rsidRPr="00204165" w:rsidTr="004D1C61">
        <w:trPr>
          <w:trHeight w:val="315"/>
        </w:trPr>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2C6AB8" w:rsidRPr="00204165" w:rsidRDefault="002C6AB8" w:rsidP="004D1C61">
            <w:pPr>
              <w:spacing w:after="0" w:line="240" w:lineRule="auto"/>
              <w:rPr>
                <w:rFonts w:ascii="Times New Roman" w:eastAsia="Times New Roman" w:hAnsi="Times New Roman"/>
                <w:color w:val="000000"/>
                <w:lang w:eastAsia="en-GB"/>
              </w:rPr>
            </w:pPr>
            <w:r w:rsidRPr="00204165">
              <w:rPr>
                <w:rFonts w:ascii="Times New Roman" w:eastAsia="Times New Roman" w:hAnsi="Times New Roman"/>
                <w:color w:val="000000"/>
                <w:lang w:eastAsia="en-GB"/>
              </w:rPr>
              <w:t>Q4 2006</w:t>
            </w:r>
          </w:p>
        </w:tc>
        <w:tc>
          <w:tcPr>
            <w:tcW w:w="1276" w:type="dxa"/>
            <w:tcBorders>
              <w:top w:val="nil"/>
              <w:left w:val="nil"/>
              <w:bottom w:val="single" w:sz="8" w:space="0" w:color="auto"/>
              <w:right w:val="single" w:sz="8" w:space="0" w:color="auto"/>
            </w:tcBorders>
            <w:shd w:val="clear" w:color="auto" w:fill="auto"/>
            <w:noWrap/>
            <w:vAlign w:val="bottom"/>
            <w:hideMark/>
          </w:tcPr>
          <w:p w:rsidR="002C6AB8" w:rsidRPr="00204165" w:rsidRDefault="002C6AB8" w:rsidP="004D1C61">
            <w:pPr>
              <w:spacing w:after="0" w:line="240" w:lineRule="auto"/>
              <w:jc w:val="center"/>
              <w:rPr>
                <w:rFonts w:ascii="Times New Roman" w:eastAsia="Times New Roman" w:hAnsi="Times New Roman"/>
                <w:color w:val="000000"/>
                <w:lang w:eastAsia="en-GB"/>
              </w:rPr>
            </w:pPr>
            <w:r w:rsidRPr="00204165">
              <w:rPr>
                <w:rFonts w:ascii="Times New Roman" w:eastAsia="Times New Roman" w:hAnsi="Times New Roman"/>
                <w:color w:val="000000"/>
                <w:lang w:eastAsia="en-GB"/>
              </w:rPr>
              <w:t>-24.79</w:t>
            </w:r>
          </w:p>
        </w:tc>
        <w:tc>
          <w:tcPr>
            <w:tcW w:w="1417" w:type="dxa"/>
            <w:tcBorders>
              <w:top w:val="nil"/>
              <w:left w:val="nil"/>
              <w:bottom w:val="single" w:sz="8" w:space="0" w:color="auto"/>
              <w:right w:val="single" w:sz="8" w:space="0" w:color="auto"/>
            </w:tcBorders>
            <w:shd w:val="clear" w:color="auto" w:fill="auto"/>
            <w:noWrap/>
            <w:vAlign w:val="bottom"/>
            <w:hideMark/>
          </w:tcPr>
          <w:p w:rsidR="002C6AB8" w:rsidRPr="00204165" w:rsidRDefault="002C6AB8" w:rsidP="004D1C61">
            <w:pPr>
              <w:spacing w:after="0" w:line="240" w:lineRule="auto"/>
              <w:jc w:val="center"/>
              <w:rPr>
                <w:rFonts w:ascii="Times New Roman" w:eastAsia="Times New Roman" w:hAnsi="Times New Roman"/>
                <w:color w:val="000000"/>
                <w:lang w:eastAsia="en-GB"/>
              </w:rPr>
            </w:pPr>
            <w:r w:rsidRPr="00204165">
              <w:rPr>
                <w:rFonts w:ascii="Times New Roman" w:eastAsia="Times New Roman" w:hAnsi="Times New Roman"/>
                <w:color w:val="000000"/>
                <w:lang w:eastAsia="en-GB"/>
              </w:rPr>
              <w:t>-31.16</w:t>
            </w:r>
          </w:p>
        </w:tc>
        <w:tc>
          <w:tcPr>
            <w:tcW w:w="1701" w:type="dxa"/>
            <w:tcBorders>
              <w:top w:val="nil"/>
              <w:left w:val="nil"/>
              <w:bottom w:val="single" w:sz="8" w:space="0" w:color="auto"/>
              <w:right w:val="single" w:sz="8" w:space="0" w:color="auto"/>
            </w:tcBorders>
            <w:shd w:val="clear" w:color="auto" w:fill="auto"/>
            <w:noWrap/>
            <w:vAlign w:val="bottom"/>
            <w:hideMark/>
          </w:tcPr>
          <w:p w:rsidR="002C6AB8" w:rsidRPr="00204165" w:rsidRDefault="002C6AB8" w:rsidP="004D1C61">
            <w:pPr>
              <w:spacing w:after="0" w:line="240" w:lineRule="auto"/>
              <w:jc w:val="center"/>
              <w:rPr>
                <w:rFonts w:ascii="Times New Roman" w:eastAsia="Times New Roman" w:hAnsi="Times New Roman"/>
                <w:color w:val="000000"/>
                <w:lang w:eastAsia="en-GB"/>
              </w:rPr>
            </w:pPr>
            <w:r w:rsidRPr="00204165">
              <w:rPr>
                <w:rFonts w:ascii="Times New Roman" w:eastAsia="Times New Roman" w:hAnsi="Times New Roman"/>
                <w:color w:val="000000"/>
                <w:lang w:eastAsia="en-GB"/>
              </w:rPr>
              <w:t>-91.02</w:t>
            </w:r>
          </w:p>
        </w:tc>
        <w:tc>
          <w:tcPr>
            <w:tcW w:w="1843" w:type="dxa"/>
            <w:tcBorders>
              <w:top w:val="nil"/>
              <w:left w:val="nil"/>
              <w:bottom w:val="single" w:sz="8" w:space="0" w:color="auto"/>
              <w:right w:val="single" w:sz="8" w:space="0" w:color="auto"/>
            </w:tcBorders>
            <w:shd w:val="clear" w:color="auto" w:fill="auto"/>
            <w:noWrap/>
            <w:vAlign w:val="bottom"/>
            <w:hideMark/>
          </w:tcPr>
          <w:p w:rsidR="002C6AB8" w:rsidRPr="00204165" w:rsidRDefault="002C6AB8" w:rsidP="004D1C61">
            <w:pPr>
              <w:spacing w:after="0" w:line="240" w:lineRule="auto"/>
              <w:jc w:val="center"/>
              <w:rPr>
                <w:rFonts w:ascii="Times New Roman" w:eastAsia="Times New Roman" w:hAnsi="Times New Roman"/>
                <w:color w:val="000000"/>
                <w:lang w:eastAsia="en-GB"/>
              </w:rPr>
            </w:pPr>
            <w:r w:rsidRPr="00204165">
              <w:rPr>
                <w:rFonts w:ascii="Times New Roman" w:eastAsia="Times New Roman" w:hAnsi="Times New Roman"/>
                <w:color w:val="000000"/>
                <w:lang w:eastAsia="en-GB"/>
              </w:rPr>
              <w:t>-86.22</w:t>
            </w:r>
          </w:p>
        </w:tc>
        <w:tc>
          <w:tcPr>
            <w:tcW w:w="1778" w:type="dxa"/>
            <w:tcBorders>
              <w:top w:val="nil"/>
              <w:left w:val="nil"/>
              <w:bottom w:val="single" w:sz="8" w:space="0" w:color="auto"/>
              <w:right w:val="single" w:sz="8" w:space="0" w:color="auto"/>
            </w:tcBorders>
            <w:shd w:val="clear" w:color="auto" w:fill="auto"/>
            <w:noWrap/>
            <w:vAlign w:val="bottom"/>
            <w:hideMark/>
          </w:tcPr>
          <w:p w:rsidR="002C6AB8" w:rsidRPr="00204165" w:rsidRDefault="002C6AB8" w:rsidP="004D1C61">
            <w:pPr>
              <w:spacing w:after="0" w:line="240" w:lineRule="auto"/>
              <w:jc w:val="center"/>
              <w:rPr>
                <w:rFonts w:ascii="Times New Roman" w:eastAsia="Times New Roman" w:hAnsi="Times New Roman"/>
                <w:color w:val="000000"/>
                <w:lang w:eastAsia="en-GB"/>
              </w:rPr>
            </w:pPr>
            <w:r w:rsidRPr="00204165">
              <w:rPr>
                <w:rFonts w:ascii="Times New Roman" w:eastAsia="Times New Roman" w:hAnsi="Times New Roman"/>
                <w:color w:val="000000"/>
                <w:lang w:eastAsia="en-GB"/>
              </w:rPr>
              <w:t>-101.96</w:t>
            </w:r>
          </w:p>
        </w:tc>
      </w:tr>
      <w:tr w:rsidR="002C6AB8" w:rsidRPr="00204165" w:rsidTr="004D1C61">
        <w:trPr>
          <w:trHeight w:val="315"/>
        </w:trPr>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2C6AB8" w:rsidRPr="00204165" w:rsidRDefault="002C6AB8" w:rsidP="004D1C61">
            <w:pPr>
              <w:spacing w:after="0" w:line="240" w:lineRule="auto"/>
              <w:rPr>
                <w:rFonts w:ascii="Times New Roman" w:eastAsia="Times New Roman" w:hAnsi="Times New Roman"/>
                <w:color w:val="000000"/>
                <w:lang w:eastAsia="en-GB"/>
              </w:rPr>
            </w:pPr>
            <w:r w:rsidRPr="00204165">
              <w:rPr>
                <w:rFonts w:ascii="Times New Roman" w:eastAsia="Times New Roman" w:hAnsi="Times New Roman"/>
                <w:color w:val="000000"/>
                <w:lang w:eastAsia="en-GB"/>
              </w:rPr>
              <w:t>Q1 2007</w:t>
            </w:r>
          </w:p>
        </w:tc>
        <w:tc>
          <w:tcPr>
            <w:tcW w:w="1276" w:type="dxa"/>
            <w:tcBorders>
              <w:top w:val="nil"/>
              <w:left w:val="nil"/>
              <w:bottom w:val="single" w:sz="8" w:space="0" w:color="auto"/>
              <w:right w:val="single" w:sz="8" w:space="0" w:color="auto"/>
            </w:tcBorders>
            <w:shd w:val="clear" w:color="auto" w:fill="auto"/>
            <w:noWrap/>
            <w:vAlign w:val="bottom"/>
            <w:hideMark/>
          </w:tcPr>
          <w:p w:rsidR="002C6AB8" w:rsidRPr="00204165" w:rsidRDefault="002C6AB8" w:rsidP="004D1C61">
            <w:pPr>
              <w:spacing w:after="0" w:line="240" w:lineRule="auto"/>
              <w:jc w:val="center"/>
              <w:rPr>
                <w:rFonts w:ascii="Times New Roman" w:eastAsia="Times New Roman" w:hAnsi="Times New Roman"/>
                <w:color w:val="000000"/>
                <w:lang w:eastAsia="en-GB"/>
              </w:rPr>
            </w:pPr>
            <w:r w:rsidRPr="00204165">
              <w:rPr>
                <w:rFonts w:ascii="Times New Roman" w:eastAsia="Times New Roman" w:hAnsi="Times New Roman"/>
                <w:color w:val="000000"/>
                <w:lang w:eastAsia="en-GB"/>
              </w:rPr>
              <w:t>-23.21</w:t>
            </w:r>
          </w:p>
        </w:tc>
        <w:tc>
          <w:tcPr>
            <w:tcW w:w="1417" w:type="dxa"/>
            <w:tcBorders>
              <w:top w:val="nil"/>
              <w:left w:val="nil"/>
              <w:bottom w:val="single" w:sz="8" w:space="0" w:color="auto"/>
              <w:right w:val="single" w:sz="8" w:space="0" w:color="auto"/>
            </w:tcBorders>
            <w:shd w:val="clear" w:color="auto" w:fill="auto"/>
            <w:noWrap/>
            <w:vAlign w:val="bottom"/>
            <w:hideMark/>
          </w:tcPr>
          <w:p w:rsidR="002C6AB8" w:rsidRPr="00204165" w:rsidRDefault="002C6AB8" w:rsidP="004D1C61">
            <w:pPr>
              <w:spacing w:after="0" w:line="240" w:lineRule="auto"/>
              <w:jc w:val="center"/>
              <w:rPr>
                <w:rFonts w:ascii="Times New Roman" w:eastAsia="Times New Roman" w:hAnsi="Times New Roman"/>
                <w:color w:val="000000"/>
                <w:lang w:eastAsia="en-GB"/>
              </w:rPr>
            </w:pPr>
            <w:r w:rsidRPr="00204165">
              <w:rPr>
                <w:rFonts w:ascii="Times New Roman" w:eastAsia="Times New Roman" w:hAnsi="Times New Roman"/>
                <w:color w:val="000000"/>
                <w:lang w:eastAsia="en-GB"/>
              </w:rPr>
              <w:t>-44.52</w:t>
            </w:r>
          </w:p>
        </w:tc>
        <w:tc>
          <w:tcPr>
            <w:tcW w:w="1701" w:type="dxa"/>
            <w:tcBorders>
              <w:top w:val="nil"/>
              <w:left w:val="nil"/>
              <w:bottom w:val="single" w:sz="8" w:space="0" w:color="auto"/>
              <w:right w:val="single" w:sz="8" w:space="0" w:color="auto"/>
            </w:tcBorders>
            <w:shd w:val="clear" w:color="auto" w:fill="auto"/>
            <w:noWrap/>
            <w:vAlign w:val="bottom"/>
            <w:hideMark/>
          </w:tcPr>
          <w:p w:rsidR="002C6AB8" w:rsidRPr="00204165" w:rsidRDefault="002C6AB8" w:rsidP="004D1C61">
            <w:pPr>
              <w:spacing w:after="0" w:line="240" w:lineRule="auto"/>
              <w:jc w:val="center"/>
              <w:rPr>
                <w:rFonts w:ascii="Times New Roman" w:eastAsia="Times New Roman" w:hAnsi="Times New Roman"/>
                <w:color w:val="000000"/>
                <w:lang w:eastAsia="en-GB"/>
              </w:rPr>
            </w:pPr>
            <w:r w:rsidRPr="00204165">
              <w:rPr>
                <w:rFonts w:ascii="Times New Roman" w:eastAsia="Times New Roman" w:hAnsi="Times New Roman"/>
                <w:color w:val="000000"/>
                <w:lang w:eastAsia="en-GB"/>
              </w:rPr>
              <w:t>36.42</w:t>
            </w:r>
          </w:p>
        </w:tc>
        <w:tc>
          <w:tcPr>
            <w:tcW w:w="1843" w:type="dxa"/>
            <w:tcBorders>
              <w:top w:val="nil"/>
              <w:left w:val="nil"/>
              <w:bottom w:val="single" w:sz="8" w:space="0" w:color="auto"/>
              <w:right w:val="single" w:sz="8" w:space="0" w:color="auto"/>
            </w:tcBorders>
            <w:shd w:val="clear" w:color="auto" w:fill="auto"/>
            <w:noWrap/>
            <w:vAlign w:val="bottom"/>
            <w:hideMark/>
          </w:tcPr>
          <w:p w:rsidR="002C6AB8" w:rsidRPr="00204165" w:rsidRDefault="002C6AB8" w:rsidP="004D1C61">
            <w:pPr>
              <w:spacing w:after="0" w:line="240" w:lineRule="auto"/>
              <w:jc w:val="center"/>
              <w:rPr>
                <w:rFonts w:ascii="Times New Roman" w:eastAsia="Times New Roman" w:hAnsi="Times New Roman"/>
                <w:color w:val="000000"/>
                <w:lang w:eastAsia="en-GB"/>
              </w:rPr>
            </w:pPr>
            <w:r w:rsidRPr="00204165">
              <w:rPr>
                <w:rFonts w:ascii="Times New Roman" w:eastAsia="Times New Roman" w:hAnsi="Times New Roman"/>
                <w:color w:val="000000"/>
                <w:lang w:eastAsia="en-GB"/>
              </w:rPr>
              <w:t>419.21</w:t>
            </w:r>
          </w:p>
        </w:tc>
        <w:tc>
          <w:tcPr>
            <w:tcW w:w="1778" w:type="dxa"/>
            <w:tcBorders>
              <w:top w:val="nil"/>
              <w:left w:val="nil"/>
              <w:bottom w:val="single" w:sz="8" w:space="0" w:color="auto"/>
              <w:right w:val="single" w:sz="8" w:space="0" w:color="auto"/>
            </w:tcBorders>
            <w:shd w:val="clear" w:color="auto" w:fill="auto"/>
            <w:noWrap/>
            <w:vAlign w:val="bottom"/>
            <w:hideMark/>
          </w:tcPr>
          <w:p w:rsidR="002C6AB8" w:rsidRPr="00204165" w:rsidRDefault="002C6AB8" w:rsidP="004D1C61">
            <w:pPr>
              <w:spacing w:after="0" w:line="240" w:lineRule="auto"/>
              <w:jc w:val="center"/>
              <w:rPr>
                <w:rFonts w:ascii="Times New Roman" w:eastAsia="Times New Roman" w:hAnsi="Times New Roman"/>
                <w:color w:val="000000"/>
                <w:lang w:eastAsia="en-GB"/>
              </w:rPr>
            </w:pPr>
            <w:r w:rsidRPr="00204165">
              <w:rPr>
                <w:rFonts w:ascii="Times New Roman" w:eastAsia="Times New Roman" w:hAnsi="Times New Roman"/>
                <w:color w:val="000000"/>
                <w:lang w:eastAsia="en-GB"/>
              </w:rPr>
              <w:t>736.22</w:t>
            </w:r>
          </w:p>
        </w:tc>
      </w:tr>
      <w:tr w:rsidR="002C6AB8" w:rsidRPr="00204165" w:rsidTr="004D1C61">
        <w:trPr>
          <w:trHeight w:val="315"/>
        </w:trPr>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2C6AB8" w:rsidRPr="00204165" w:rsidRDefault="002C6AB8" w:rsidP="004D1C61">
            <w:pPr>
              <w:spacing w:after="0" w:line="240" w:lineRule="auto"/>
              <w:rPr>
                <w:rFonts w:ascii="Times New Roman" w:eastAsia="Times New Roman" w:hAnsi="Times New Roman"/>
                <w:color w:val="000000"/>
                <w:lang w:eastAsia="en-GB"/>
              </w:rPr>
            </w:pPr>
            <w:r w:rsidRPr="00204165">
              <w:rPr>
                <w:rFonts w:ascii="Times New Roman" w:eastAsia="Times New Roman" w:hAnsi="Times New Roman"/>
                <w:color w:val="000000"/>
                <w:lang w:eastAsia="en-GB"/>
              </w:rPr>
              <w:t>Q2 2007</w:t>
            </w:r>
          </w:p>
        </w:tc>
        <w:tc>
          <w:tcPr>
            <w:tcW w:w="1276" w:type="dxa"/>
            <w:tcBorders>
              <w:top w:val="nil"/>
              <w:left w:val="nil"/>
              <w:bottom w:val="single" w:sz="8" w:space="0" w:color="auto"/>
              <w:right w:val="single" w:sz="8" w:space="0" w:color="auto"/>
            </w:tcBorders>
            <w:shd w:val="clear" w:color="auto" w:fill="auto"/>
            <w:noWrap/>
            <w:vAlign w:val="bottom"/>
            <w:hideMark/>
          </w:tcPr>
          <w:p w:rsidR="002C6AB8" w:rsidRPr="00204165" w:rsidRDefault="002C6AB8" w:rsidP="004D1C61">
            <w:pPr>
              <w:spacing w:after="0" w:line="240" w:lineRule="auto"/>
              <w:jc w:val="center"/>
              <w:rPr>
                <w:rFonts w:ascii="Times New Roman" w:eastAsia="Times New Roman" w:hAnsi="Times New Roman"/>
                <w:color w:val="000000"/>
                <w:lang w:eastAsia="en-GB"/>
              </w:rPr>
            </w:pPr>
            <w:r w:rsidRPr="00204165">
              <w:rPr>
                <w:rFonts w:ascii="Times New Roman" w:eastAsia="Times New Roman" w:hAnsi="Times New Roman"/>
                <w:color w:val="000000"/>
                <w:lang w:eastAsia="en-GB"/>
              </w:rPr>
              <w:t>-15.92</w:t>
            </w:r>
          </w:p>
        </w:tc>
        <w:tc>
          <w:tcPr>
            <w:tcW w:w="1417" w:type="dxa"/>
            <w:tcBorders>
              <w:top w:val="nil"/>
              <w:left w:val="nil"/>
              <w:bottom w:val="single" w:sz="8" w:space="0" w:color="auto"/>
              <w:right w:val="single" w:sz="8" w:space="0" w:color="auto"/>
            </w:tcBorders>
            <w:shd w:val="clear" w:color="auto" w:fill="auto"/>
            <w:noWrap/>
            <w:vAlign w:val="bottom"/>
            <w:hideMark/>
          </w:tcPr>
          <w:p w:rsidR="002C6AB8" w:rsidRPr="00204165" w:rsidRDefault="002C6AB8" w:rsidP="004D1C61">
            <w:pPr>
              <w:spacing w:after="0" w:line="240" w:lineRule="auto"/>
              <w:jc w:val="center"/>
              <w:rPr>
                <w:rFonts w:ascii="Times New Roman" w:eastAsia="Times New Roman" w:hAnsi="Times New Roman"/>
                <w:color w:val="000000"/>
                <w:lang w:eastAsia="en-GB"/>
              </w:rPr>
            </w:pPr>
            <w:r w:rsidRPr="00204165">
              <w:rPr>
                <w:rFonts w:ascii="Times New Roman" w:eastAsia="Times New Roman" w:hAnsi="Times New Roman"/>
                <w:color w:val="000000"/>
                <w:lang w:eastAsia="en-GB"/>
              </w:rPr>
              <w:t>-73.92</w:t>
            </w:r>
          </w:p>
        </w:tc>
        <w:tc>
          <w:tcPr>
            <w:tcW w:w="1701" w:type="dxa"/>
            <w:tcBorders>
              <w:top w:val="nil"/>
              <w:left w:val="nil"/>
              <w:bottom w:val="single" w:sz="8" w:space="0" w:color="auto"/>
              <w:right w:val="single" w:sz="8" w:space="0" w:color="auto"/>
            </w:tcBorders>
            <w:shd w:val="clear" w:color="auto" w:fill="auto"/>
            <w:noWrap/>
            <w:vAlign w:val="bottom"/>
            <w:hideMark/>
          </w:tcPr>
          <w:p w:rsidR="002C6AB8" w:rsidRPr="00204165" w:rsidRDefault="002C6AB8" w:rsidP="004D1C61">
            <w:pPr>
              <w:spacing w:after="0" w:line="240" w:lineRule="auto"/>
              <w:jc w:val="center"/>
              <w:rPr>
                <w:rFonts w:ascii="Times New Roman" w:eastAsia="Times New Roman" w:hAnsi="Times New Roman"/>
                <w:color w:val="000000"/>
                <w:lang w:eastAsia="en-GB"/>
              </w:rPr>
            </w:pPr>
            <w:r w:rsidRPr="00204165">
              <w:rPr>
                <w:rFonts w:ascii="Times New Roman" w:eastAsia="Times New Roman" w:hAnsi="Times New Roman"/>
                <w:color w:val="000000"/>
                <w:lang w:eastAsia="en-GB"/>
              </w:rPr>
              <w:t>307.47</w:t>
            </w:r>
          </w:p>
        </w:tc>
        <w:tc>
          <w:tcPr>
            <w:tcW w:w="1843" w:type="dxa"/>
            <w:tcBorders>
              <w:top w:val="nil"/>
              <w:left w:val="nil"/>
              <w:bottom w:val="single" w:sz="8" w:space="0" w:color="auto"/>
              <w:right w:val="single" w:sz="8" w:space="0" w:color="auto"/>
            </w:tcBorders>
            <w:shd w:val="clear" w:color="auto" w:fill="auto"/>
            <w:noWrap/>
            <w:vAlign w:val="bottom"/>
            <w:hideMark/>
          </w:tcPr>
          <w:p w:rsidR="002C6AB8" w:rsidRPr="00204165" w:rsidRDefault="002C6AB8" w:rsidP="004D1C61">
            <w:pPr>
              <w:spacing w:after="0" w:line="240" w:lineRule="auto"/>
              <w:jc w:val="center"/>
              <w:rPr>
                <w:rFonts w:ascii="Times New Roman" w:eastAsia="Times New Roman" w:hAnsi="Times New Roman"/>
                <w:color w:val="000000"/>
                <w:lang w:eastAsia="en-GB"/>
              </w:rPr>
            </w:pPr>
            <w:r w:rsidRPr="00204165">
              <w:rPr>
                <w:rFonts w:ascii="Times New Roman" w:eastAsia="Times New Roman" w:hAnsi="Times New Roman"/>
                <w:color w:val="000000"/>
                <w:lang w:eastAsia="en-GB"/>
              </w:rPr>
              <w:t>1,326.93</w:t>
            </w:r>
          </w:p>
        </w:tc>
        <w:tc>
          <w:tcPr>
            <w:tcW w:w="1778" w:type="dxa"/>
            <w:tcBorders>
              <w:top w:val="nil"/>
              <w:left w:val="nil"/>
              <w:bottom w:val="single" w:sz="8" w:space="0" w:color="auto"/>
              <w:right w:val="single" w:sz="8" w:space="0" w:color="auto"/>
            </w:tcBorders>
            <w:shd w:val="clear" w:color="auto" w:fill="auto"/>
            <w:noWrap/>
            <w:vAlign w:val="bottom"/>
            <w:hideMark/>
          </w:tcPr>
          <w:p w:rsidR="002C6AB8" w:rsidRPr="00204165" w:rsidRDefault="002C6AB8" w:rsidP="004D1C61">
            <w:pPr>
              <w:spacing w:after="0" w:line="240" w:lineRule="auto"/>
              <w:jc w:val="center"/>
              <w:rPr>
                <w:rFonts w:ascii="Times New Roman" w:eastAsia="Times New Roman" w:hAnsi="Times New Roman"/>
                <w:color w:val="000000"/>
                <w:lang w:eastAsia="en-GB"/>
              </w:rPr>
            </w:pPr>
            <w:r w:rsidRPr="00204165">
              <w:rPr>
                <w:rFonts w:ascii="Times New Roman" w:eastAsia="Times New Roman" w:hAnsi="Times New Roman"/>
                <w:color w:val="000000"/>
                <w:lang w:eastAsia="en-GB"/>
              </w:rPr>
              <w:t>2,075.43</w:t>
            </w:r>
          </w:p>
        </w:tc>
      </w:tr>
      <w:tr w:rsidR="002C6AB8" w:rsidRPr="00204165" w:rsidTr="004D1C61">
        <w:trPr>
          <w:trHeight w:val="315"/>
        </w:trPr>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2C6AB8" w:rsidRPr="00204165" w:rsidRDefault="002C6AB8" w:rsidP="004D1C61">
            <w:pPr>
              <w:spacing w:after="0" w:line="240" w:lineRule="auto"/>
              <w:rPr>
                <w:rFonts w:ascii="Times New Roman" w:eastAsia="Times New Roman" w:hAnsi="Times New Roman"/>
                <w:color w:val="000000"/>
                <w:lang w:eastAsia="en-GB"/>
              </w:rPr>
            </w:pPr>
            <w:r w:rsidRPr="00204165">
              <w:rPr>
                <w:rFonts w:ascii="Times New Roman" w:eastAsia="Times New Roman" w:hAnsi="Times New Roman"/>
                <w:color w:val="000000"/>
                <w:lang w:eastAsia="en-GB"/>
              </w:rPr>
              <w:t>Q3 2007</w:t>
            </w:r>
          </w:p>
        </w:tc>
        <w:tc>
          <w:tcPr>
            <w:tcW w:w="1276" w:type="dxa"/>
            <w:tcBorders>
              <w:top w:val="nil"/>
              <w:left w:val="nil"/>
              <w:bottom w:val="single" w:sz="8" w:space="0" w:color="auto"/>
              <w:right w:val="single" w:sz="8" w:space="0" w:color="auto"/>
            </w:tcBorders>
            <w:shd w:val="clear" w:color="auto" w:fill="auto"/>
            <w:noWrap/>
            <w:vAlign w:val="bottom"/>
            <w:hideMark/>
          </w:tcPr>
          <w:p w:rsidR="002C6AB8" w:rsidRPr="00204165" w:rsidRDefault="002C6AB8" w:rsidP="004D1C61">
            <w:pPr>
              <w:spacing w:after="0" w:line="240" w:lineRule="auto"/>
              <w:jc w:val="center"/>
              <w:rPr>
                <w:rFonts w:ascii="Times New Roman" w:eastAsia="Times New Roman" w:hAnsi="Times New Roman"/>
                <w:color w:val="000000"/>
                <w:lang w:eastAsia="en-GB"/>
              </w:rPr>
            </w:pPr>
            <w:r w:rsidRPr="00204165">
              <w:rPr>
                <w:rFonts w:ascii="Times New Roman" w:eastAsia="Times New Roman" w:hAnsi="Times New Roman"/>
                <w:color w:val="000000"/>
                <w:lang w:eastAsia="en-GB"/>
              </w:rPr>
              <w:t>46.6</w:t>
            </w:r>
          </w:p>
        </w:tc>
        <w:tc>
          <w:tcPr>
            <w:tcW w:w="1417" w:type="dxa"/>
            <w:tcBorders>
              <w:top w:val="nil"/>
              <w:left w:val="nil"/>
              <w:bottom w:val="single" w:sz="8" w:space="0" w:color="auto"/>
              <w:right w:val="single" w:sz="8" w:space="0" w:color="auto"/>
            </w:tcBorders>
            <w:shd w:val="clear" w:color="auto" w:fill="auto"/>
            <w:noWrap/>
            <w:vAlign w:val="bottom"/>
            <w:hideMark/>
          </w:tcPr>
          <w:p w:rsidR="002C6AB8" w:rsidRPr="00204165" w:rsidRDefault="002C6AB8" w:rsidP="004D1C61">
            <w:pPr>
              <w:spacing w:after="0" w:line="240" w:lineRule="auto"/>
              <w:jc w:val="center"/>
              <w:rPr>
                <w:rFonts w:ascii="Times New Roman" w:eastAsia="Times New Roman" w:hAnsi="Times New Roman"/>
                <w:color w:val="000000"/>
                <w:lang w:eastAsia="en-GB"/>
              </w:rPr>
            </w:pPr>
            <w:r w:rsidRPr="00204165">
              <w:rPr>
                <w:rFonts w:ascii="Times New Roman" w:eastAsia="Times New Roman" w:hAnsi="Times New Roman"/>
                <w:color w:val="000000"/>
                <w:lang w:eastAsia="en-GB"/>
              </w:rPr>
              <w:t>145.97</w:t>
            </w:r>
          </w:p>
        </w:tc>
        <w:tc>
          <w:tcPr>
            <w:tcW w:w="1701" w:type="dxa"/>
            <w:tcBorders>
              <w:top w:val="nil"/>
              <w:left w:val="nil"/>
              <w:bottom w:val="single" w:sz="8" w:space="0" w:color="auto"/>
              <w:right w:val="single" w:sz="8" w:space="0" w:color="auto"/>
            </w:tcBorders>
            <w:shd w:val="clear" w:color="auto" w:fill="auto"/>
            <w:noWrap/>
            <w:vAlign w:val="bottom"/>
            <w:hideMark/>
          </w:tcPr>
          <w:p w:rsidR="002C6AB8" w:rsidRPr="00204165" w:rsidRDefault="002C6AB8" w:rsidP="004D1C61">
            <w:pPr>
              <w:spacing w:after="0" w:line="240" w:lineRule="auto"/>
              <w:jc w:val="center"/>
              <w:rPr>
                <w:rFonts w:ascii="Times New Roman" w:eastAsia="Times New Roman" w:hAnsi="Times New Roman"/>
                <w:color w:val="000000"/>
                <w:lang w:eastAsia="en-GB"/>
              </w:rPr>
            </w:pPr>
            <w:r w:rsidRPr="00204165">
              <w:rPr>
                <w:rFonts w:ascii="Times New Roman" w:eastAsia="Times New Roman" w:hAnsi="Times New Roman"/>
                <w:color w:val="000000"/>
                <w:lang w:eastAsia="en-GB"/>
              </w:rPr>
              <w:t>604.87</w:t>
            </w:r>
          </w:p>
        </w:tc>
        <w:tc>
          <w:tcPr>
            <w:tcW w:w="1843" w:type="dxa"/>
            <w:tcBorders>
              <w:top w:val="nil"/>
              <w:left w:val="nil"/>
              <w:bottom w:val="single" w:sz="8" w:space="0" w:color="auto"/>
              <w:right w:val="single" w:sz="8" w:space="0" w:color="auto"/>
            </w:tcBorders>
            <w:shd w:val="clear" w:color="auto" w:fill="auto"/>
            <w:noWrap/>
            <w:vAlign w:val="bottom"/>
            <w:hideMark/>
          </w:tcPr>
          <w:p w:rsidR="002C6AB8" w:rsidRPr="00204165" w:rsidRDefault="002C6AB8" w:rsidP="004D1C61">
            <w:pPr>
              <w:spacing w:after="0" w:line="240" w:lineRule="auto"/>
              <w:jc w:val="center"/>
              <w:rPr>
                <w:rFonts w:ascii="Times New Roman" w:eastAsia="Times New Roman" w:hAnsi="Times New Roman"/>
                <w:color w:val="000000"/>
                <w:lang w:eastAsia="en-GB"/>
              </w:rPr>
            </w:pPr>
            <w:r w:rsidRPr="00204165">
              <w:rPr>
                <w:rFonts w:ascii="Times New Roman" w:eastAsia="Times New Roman" w:hAnsi="Times New Roman"/>
                <w:color w:val="000000"/>
                <w:lang w:eastAsia="en-GB"/>
              </w:rPr>
              <w:t>1,362.99</w:t>
            </w:r>
          </w:p>
        </w:tc>
        <w:tc>
          <w:tcPr>
            <w:tcW w:w="1778" w:type="dxa"/>
            <w:tcBorders>
              <w:top w:val="nil"/>
              <w:left w:val="nil"/>
              <w:bottom w:val="single" w:sz="8" w:space="0" w:color="auto"/>
              <w:right w:val="single" w:sz="8" w:space="0" w:color="auto"/>
            </w:tcBorders>
            <w:shd w:val="clear" w:color="auto" w:fill="auto"/>
            <w:noWrap/>
            <w:vAlign w:val="bottom"/>
            <w:hideMark/>
          </w:tcPr>
          <w:p w:rsidR="002C6AB8" w:rsidRPr="00204165" w:rsidRDefault="002C6AB8" w:rsidP="004D1C61">
            <w:pPr>
              <w:spacing w:after="0" w:line="240" w:lineRule="auto"/>
              <w:jc w:val="center"/>
              <w:rPr>
                <w:rFonts w:ascii="Times New Roman" w:eastAsia="Times New Roman" w:hAnsi="Times New Roman"/>
                <w:color w:val="000000"/>
                <w:lang w:eastAsia="en-GB"/>
              </w:rPr>
            </w:pPr>
            <w:r w:rsidRPr="00204165">
              <w:rPr>
                <w:rFonts w:ascii="Times New Roman" w:eastAsia="Times New Roman" w:hAnsi="Times New Roman"/>
                <w:color w:val="000000"/>
                <w:lang w:eastAsia="en-GB"/>
              </w:rPr>
              <w:t>1,498.71</w:t>
            </w:r>
          </w:p>
        </w:tc>
      </w:tr>
    </w:tbl>
    <w:p w:rsidR="002C6AB8" w:rsidRPr="00204165" w:rsidRDefault="002C6AB8" w:rsidP="002C6AB8">
      <w:pPr>
        <w:rPr>
          <w:rFonts w:ascii="Times New Roman" w:hAnsi="Times New Roman"/>
        </w:rPr>
      </w:pPr>
      <w:proofErr w:type="gramStart"/>
      <w:r w:rsidRPr="00204165">
        <w:rPr>
          <w:rFonts w:ascii="Times New Roman" w:hAnsi="Times New Roman"/>
        </w:rPr>
        <w:t>Source :</w:t>
      </w:r>
      <w:proofErr w:type="gramEnd"/>
      <w:r w:rsidRPr="00204165">
        <w:rPr>
          <w:rFonts w:ascii="Times New Roman" w:hAnsi="Times New Roman"/>
        </w:rPr>
        <w:t xml:space="preserve"> CDS Spreads </w:t>
      </w:r>
      <w:r>
        <w:rPr>
          <w:rFonts w:ascii="Times New Roman" w:hAnsi="Times New Roman"/>
        </w:rPr>
        <w:t xml:space="preserve">ABX-HE Index and CDO Bond Spreads from Nomura Fixed Income Research </w:t>
      </w:r>
    </w:p>
    <w:p w:rsidR="003C51B9" w:rsidRDefault="00360DBD" w:rsidP="00360DBD">
      <w:pPr>
        <w:spacing w:line="360" w:lineRule="auto"/>
        <w:rPr>
          <w:rFonts w:ascii="Times New Roman" w:hAnsi="Times New Roman"/>
        </w:rPr>
      </w:pPr>
      <w:r>
        <w:rPr>
          <w:rFonts w:ascii="Times New Roman" w:hAnsi="Times New Roman"/>
          <w:b/>
        </w:rPr>
        <w:t>F</w:t>
      </w:r>
      <w:r w:rsidR="003C51B9" w:rsidRPr="004E16F6">
        <w:rPr>
          <w:rFonts w:ascii="Times New Roman" w:hAnsi="Times New Roman"/>
          <w:b/>
        </w:rPr>
        <w:t xml:space="preserve">igure 7: ABX.HE Index </w:t>
      </w:r>
      <w:proofErr w:type="spellStart"/>
      <w:r w:rsidR="003C51B9" w:rsidRPr="004E16F6">
        <w:rPr>
          <w:rFonts w:ascii="Times New Roman" w:hAnsi="Times New Roman"/>
          <w:b/>
        </w:rPr>
        <w:t>vs</w:t>
      </w:r>
      <w:proofErr w:type="spellEnd"/>
      <w:r w:rsidR="003C51B9" w:rsidRPr="004E16F6">
        <w:rPr>
          <w:rFonts w:ascii="Times New Roman" w:hAnsi="Times New Roman"/>
          <w:b/>
        </w:rPr>
        <w:t xml:space="preserve"> RMBS-CDO Bond Spread (2006Q1 to 2007Q3)</w:t>
      </w:r>
      <w:r w:rsidR="003C51B9" w:rsidRPr="003C51B9">
        <w:rPr>
          <w:rFonts w:ascii="Times New Roman" w:hAnsi="Times New Roman"/>
          <w:noProof/>
          <w:lang w:eastAsia="en-GB"/>
        </w:rPr>
        <w:drawing>
          <wp:inline distT="0" distB="0" distL="0" distR="0">
            <wp:extent cx="5534025" cy="3086100"/>
            <wp:effectExtent l="19050" t="0" r="9525" b="0"/>
            <wp:docPr id="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34025" cy="3086100"/>
                    </a:xfrm>
                    <a:prstGeom prst="rect">
                      <a:avLst/>
                    </a:prstGeom>
                    <a:noFill/>
                    <a:ln>
                      <a:noFill/>
                    </a:ln>
                  </pic:spPr>
                </pic:pic>
              </a:graphicData>
            </a:graphic>
          </wp:inline>
        </w:drawing>
      </w:r>
    </w:p>
    <w:p w:rsidR="003C51B9" w:rsidRPr="00D77667" w:rsidRDefault="003C51B9" w:rsidP="003C51B9">
      <w:pPr>
        <w:spacing w:after="0" w:line="480" w:lineRule="auto"/>
        <w:rPr>
          <w:rFonts w:ascii="Times New Roman" w:hAnsi="Times New Roman"/>
          <w:i/>
        </w:rPr>
      </w:pPr>
      <w:r w:rsidRPr="00D77667">
        <w:rPr>
          <w:rFonts w:ascii="Times New Roman" w:hAnsi="Times New Roman"/>
          <w:b/>
        </w:rPr>
        <w:t xml:space="preserve">Source: </w:t>
      </w:r>
      <w:r w:rsidRPr="00D77667">
        <w:rPr>
          <w:rFonts w:ascii="Times New Roman" w:hAnsi="Times New Roman"/>
        </w:rPr>
        <w:t xml:space="preserve">Nomura, </w:t>
      </w:r>
      <w:proofErr w:type="spellStart"/>
      <w:r w:rsidRPr="00D77667">
        <w:rPr>
          <w:rFonts w:ascii="Times New Roman" w:hAnsi="Times New Roman"/>
        </w:rPr>
        <w:t>Markit</w:t>
      </w:r>
      <w:proofErr w:type="spellEnd"/>
      <w:r w:rsidRPr="00D77667">
        <w:rPr>
          <w:rFonts w:ascii="Times New Roman" w:hAnsi="Times New Roman"/>
        </w:rPr>
        <w:t xml:space="preserve"> (assumes 35% Constant Prepayment Rate)</w:t>
      </w:r>
    </w:p>
    <w:p w:rsidR="003C51B9" w:rsidRPr="004E16F6" w:rsidRDefault="003C51B9" w:rsidP="00DA5012">
      <w:pPr>
        <w:keepNext/>
        <w:keepLines/>
        <w:rPr>
          <w:rFonts w:ascii="Times New Roman" w:hAnsi="Times New Roman"/>
        </w:rPr>
      </w:pPr>
      <w:r w:rsidRPr="004E16F6">
        <w:rPr>
          <w:rFonts w:ascii="Times New Roman" w:hAnsi="Times New Roman"/>
          <w:b/>
        </w:rPr>
        <w:lastRenderedPageBreak/>
        <w:t xml:space="preserve">Figure </w:t>
      </w:r>
      <w:proofErr w:type="gramStart"/>
      <w:r w:rsidRPr="004E16F6">
        <w:rPr>
          <w:rFonts w:ascii="Times New Roman" w:hAnsi="Times New Roman"/>
          <w:b/>
        </w:rPr>
        <w:t>8 :</w:t>
      </w:r>
      <w:proofErr w:type="gramEnd"/>
      <w:r w:rsidRPr="004E16F6">
        <w:rPr>
          <w:rFonts w:ascii="Times New Roman" w:hAnsi="Times New Roman"/>
          <w:b/>
        </w:rPr>
        <w:t xml:space="preserve"> CDS Basis (2006Q1 to 2007Q3)</w:t>
      </w:r>
    </w:p>
    <w:p w:rsidR="003C51B9" w:rsidRDefault="00927CE9" w:rsidP="00DA5012">
      <w:pPr>
        <w:keepNext/>
        <w:keepLines/>
        <w:spacing w:after="0" w:line="480" w:lineRule="auto"/>
        <w:rPr>
          <w:rFonts w:ascii="Times New Roman" w:hAnsi="Times New Roman"/>
          <w:i/>
        </w:rPr>
      </w:pPr>
      <w:r w:rsidRPr="00D77667">
        <w:rPr>
          <w:rFonts w:ascii="Times New Roman" w:hAnsi="Times New Roman"/>
        </w:rPr>
        <w:t xml:space="preserve"> </w:t>
      </w:r>
      <w:r w:rsidR="003C51B9" w:rsidRPr="003C51B9">
        <w:rPr>
          <w:rFonts w:ascii="Times New Roman" w:hAnsi="Times New Roman"/>
          <w:noProof/>
          <w:lang w:eastAsia="en-GB"/>
        </w:rPr>
        <w:drawing>
          <wp:inline distT="0" distB="0" distL="0" distR="0">
            <wp:extent cx="5543550" cy="3048000"/>
            <wp:effectExtent l="19050" t="0" r="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43550" cy="3048000"/>
                    </a:xfrm>
                    <a:prstGeom prst="rect">
                      <a:avLst/>
                    </a:prstGeom>
                    <a:noFill/>
                    <a:ln>
                      <a:noFill/>
                    </a:ln>
                  </pic:spPr>
                </pic:pic>
              </a:graphicData>
            </a:graphic>
          </wp:inline>
        </w:drawing>
      </w:r>
    </w:p>
    <w:p w:rsidR="003C51B9" w:rsidRPr="003C51B9" w:rsidRDefault="003C51B9" w:rsidP="00DA5012">
      <w:pPr>
        <w:keepNext/>
        <w:keepLines/>
        <w:spacing w:line="360" w:lineRule="auto"/>
        <w:jc w:val="both"/>
        <w:rPr>
          <w:rFonts w:ascii="Times New Roman" w:hAnsi="Times New Roman"/>
        </w:rPr>
      </w:pPr>
      <w:r>
        <w:rPr>
          <w:rFonts w:ascii="Times New Roman" w:hAnsi="Times New Roman"/>
        </w:rPr>
        <w:tab/>
      </w:r>
      <w:r w:rsidRPr="003C51B9">
        <w:rPr>
          <w:rFonts w:ascii="Times New Roman" w:hAnsi="Times New Roman"/>
          <w:b/>
        </w:rPr>
        <w:t>Source:</w:t>
      </w:r>
      <w:r w:rsidRPr="00775FF7">
        <w:rPr>
          <w:rFonts w:ascii="Times New Roman" w:hAnsi="Times New Roman"/>
          <w:b/>
          <w:i/>
        </w:rPr>
        <w:t xml:space="preserve"> </w:t>
      </w:r>
      <w:r w:rsidRPr="003C51B9">
        <w:rPr>
          <w:rFonts w:ascii="Times New Roman" w:hAnsi="Times New Roman"/>
        </w:rPr>
        <w:t>See Table1</w:t>
      </w:r>
    </w:p>
    <w:p w:rsidR="00360DBD" w:rsidRDefault="00360DBD" w:rsidP="00F4256C">
      <w:pPr>
        <w:spacing w:after="0" w:line="360" w:lineRule="auto"/>
        <w:rPr>
          <w:rFonts w:ascii="Times New Roman" w:hAnsi="Times New Roman"/>
        </w:rPr>
      </w:pPr>
      <w:r>
        <w:rPr>
          <w:rFonts w:ascii="Times New Roman" w:hAnsi="Times New Roman"/>
        </w:rPr>
        <w:t xml:space="preserve">What can be seen in Figure 8 and Table 1 is that in 2006 Q1and Q2, the BBB tranche has the largest negative basis of about 240 and 200 basis points while in 2006 Q3 and Q4 the BBB- tranche yielded the largest negative basis of over a 100 basis points.  Finally in 2007, the AA tranche yielded in small negative basis before CDS basis turned positive.   </w:t>
      </w:r>
      <w:r w:rsidR="00CB47E6">
        <w:rPr>
          <w:rFonts w:ascii="Times New Roman" w:hAnsi="Times New Roman"/>
        </w:rPr>
        <w:br/>
      </w:r>
    </w:p>
    <w:p w:rsidR="00927CE9" w:rsidRDefault="009147DC" w:rsidP="00F4256C">
      <w:pPr>
        <w:spacing w:after="0" w:line="360" w:lineRule="auto"/>
        <w:rPr>
          <w:rFonts w:ascii="Times New Roman" w:hAnsi="Times New Roman"/>
        </w:rPr>
      </w:pPr>
      <w:r>
        <w:rPr>
          <w:rFonts w:ascii="Times New Roman" w:hAnsi="Times New Roman"/>
        </w:rPr>
        <w:t xml:space="preserve">The revaluations of banks holdings of RMBS assets in this period are primarily governed by the behaviour of the prices for the BBB and BBB- tranches for the ABX-HE indexes which started falling from November/ December 2006.  Up until 2006 Q4, the price of subprime synthetic RMBS was trading slightly above and close to par for the </w:t>
      </w:r>
      <w:r w:rsidRPr="00363744">
        <w:rPr>
          <w:rFonts w:ascii="Times New Roman" w:hAnsi="Times New Roman"/>
        </w:rPr>
        <w:t>ABX.HE 2006-01</w:t>
      </w:r>
      <w:r>
        <w:rPr>
          <w:rFonts w:ascii="Times New Roman" w:hAnsi="Times New Roman"/>
        </w:rPr>
        <w:t xml:space="preserve"> Index for all sub-indexes, after which there were substantial mark downs going </w:t>
      </w:r>
      <w:r w:rsidR="00767378">
        <w:rPr>
          <w:rFonts w:ascii="Times New Roman" w:hAnsi="Times New Roman"/>
        </w:rPr>
        <w:t>forward,</w:t>
      </w:r>
      <w:r>
        <w:rPr>
          <w:rFonts w:ascii="Times New Roman" w:hAnsi="Times New Roman"/>
        </w:rPr>
        <w:t xml:space="preserve"> and the ABX-HE vintages for 2007-01 and 02 started with deep discounts for the lower tranches.  This has been discussed at length by many (see, Gorton (2009) and Stanton and Wallace (2009)). </w:t>
      </w:r>
      <w:r w:rsidR="00F4256C">
        <w:rPr>
          <w:rFonts w:ascii="Times New Roman" w:hAnsi="Times New Roman"/>
        </w:rPr>
        <w:t xml:space="preserve">The ABX-HE index prices for the BBB tranche that dominated as the most lucrative one for purposes of carry trade in 2006 is given in Figure 9.   </w:t>
      </w:r>
      <w:r>
        <w:rPr>
          <w:rFonts w:ascii="Times New Roman" w:hAnsi="Times New Roman"/>
        </w:rPr>
        <w:t>In the simulation, f</w:t>
      </w:r>
      <w:r w:rsidR="00F4256C">
        <w:rPr>
          <w:rFonts w:ascii="Times New Roman" w:hAnsi="Times New Roman"/>
        </w:rPr>
        <w:t xml:space="preserve">rom 2006 Q4 end, we will apply the downgrades on the mezzanine tranches as needed.   </w:t>
      </w:r>
      <w:r w:rsidR="00F4256C">
        <w:rPr>
          <w:rFonts w:ascii="Times New Roman" w:hAnsi="Times New Roman"/>
        </w:rPr>
        <w:br/>
      </w:r>
    </w:p>
    <w:p w:rsidR="003D21A9" w:rsidRDefault="00775FF7" w:rsidP="00895054">
      <w:pPr>
        <w:spacing w:after="0" w:line="480" w:lineRule="auto"/>
        <w:rPr>
          <w:b/>
          <w:u w:val="single"/>
        </w:rPr>
      </w:pPr>
      <w:r w:rsidRPr="00775FF7">
        <w:rPr>
          <w:rFonts w:ascii="Times New Roman" w:hAnsi="Times New Roman"/>
          <w:b/>
        </w:rPr>
        <w:lastRenderedPageBreak/>
        <w:t xml:space="preserve">Figure </w:t>
      </w:r>
      <w:proofErr w:type="gramStart"/>
      <w:r w:rsidRPr="00775FF7">
        <w:rPr>
          <w:rFonts w:ascii="Times New Roman" w:hAnsi="Times New Roman"/>
          <w:b/>
        </w:rPr>
        <w:t xml:space="preserve">9 </w:t>
      </w:r>
      <w:r>
        <w:rPr>
          <w:rFonts w:ascii="Times New Roman" w:hAnsi="Times New Roman"/>
          <w:b/>
        </w:rPr>
        <w:t>:</w:t>
      </w:r>
      <w:r w:rsidRPr="00775FF7">
        <w:rPr>
          <w:rFonts w:ascii="Times New Roman" w:hAnsi="Times New Roman"/>
          <w:b/>
        </w:rPr>
        <w:t>The</w:t>
      </w:r>
      <w:proofErr w:type="gramEnd"/>
      <w:r w:rsidRPr="00775FF7">
        <w:rPr>
          <w:rFonts w:ascii="Times New Roman" w:hAnsi="Times New Roman"/>
          <w:b/>
        </w:rPr>
        <w:t xml:space="preserve"> ABXE-HE Index Prices for BBB Tranche 2006 Q1- 2007 Q4</w:t>
      </w:r>
      <w:r w:rsidR="003D21A9">
        <w:rPr>
          <w:noProof/>
          <w:lang w:eastAsia="en-GB"/>
        </w:rPr>
        <w:drawing>
          <wp:inline distT="0" distB="0" distL="0" distR="0">
            <wp:extent cx="5731510" cy="3305175"/>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cstate="print"/>
                    <a:stretch>
                      <a:fillRect/>
                    </a:stretch>
                  </pic:blipFill>
                  <pic:spPr>
                    <a:xfrm>
                      <a:off x="0" y="0"/>
                      <a:ext cx="5731510" cy="3305175"/>
                    </a:xfrm>
                    <a:prstGeom prst="rect">
                      <a:avLst/>
                    </a:prstGeom>
                  </pic:spPr>
                </pic:pic>
              </a:graphicData>
            </a:graphic>
          </wp:inline>
        </w:drawing>
      </w:r>
    </w:p>
    <w:p w:rsidR="000D645F" w:rsidRDefault="00D73FEC" w:rsidP="003D1B55">
      <w:pPr>
        <w:spacing w:line="360" w:lineRule="auto"/>
        <w:rPr>
          <w:rFonts w:ascii="Times New Roman" w:hAnsi="Times New Roman"/>
          <w:i/>
        </w:rPr>
      </w:pPr>
      <w:r w:rsidRPr="00775FF7">
        <w:rPr>
          <w:rFonts w:ascii="Times New Roman" w:hAnsi="Times New Roman"/>
          <w:b/>
          <w:sz w:val="20"/>
          <w:szCs w:val="20"/>
        </w:rPr>
        <w:t>Source</w:t>
      </w:r>
      <w:r w:rsidR="003C51B9">
        <w:rPr>
          <w:rFonts w:ascii="Times New Roman" w:hAnsi="Times New Roman"/>
          <w:b/>
          <w:sz w:val="20"/>
          <w:szCs w:val="20"/>
        </w:rPr>
        <w:t>:</w:t>
      </w:r>
      <w:r w:rsidRPr="00775FF7">
        <w:rPr>
          <w:rFonts w:ascii="Times New Roman" w:hAnsi="Times New Roman"/>
          <w:b/>
          <w:sz w:val="20"/>
          <w:szCs w:val="20"/>
        </w:rPr>
        <w:t xml:space="preserve"> </w:t>
      </w:r>
      <w:proofErr w:type="spellStart"/>
      <w:r w:rsidRPr="003C51B9">
        <w:rPr>
          <w:rFonts w:ascii="Times New Roman" w:hAnsi="Times New Roman"/>
          <w:sz w:val="20"/>
          <w:szCs w:val="20"/>
        </w:rPr>
        <w:t>Markit</w:t>
      </w:r>
      <w:proofErr w:type="spellEnd"/>
      <w:r w:rsidR="008B6E31">
        <w:rPr>
          <w:rFonts w:ascii="Times New Roman" w:hAnsi="Times New Roman"/>
          <w:sz w:val="20"/>
          <w:szCs w:val="20"/>
        </w:rPr>
        <w:br/>
      </w:r>
      <w:r w:rsidR="003D1B55">
        <w:rPr>
          <w:rFonts w:ascii="Times New Roman" w:hAnsi="Times New Roman"/>
          <w:sz w:val="20"/>
          <w:szCs w:val="20"/>
        </w:rPr>
        <w:br/>
      </w:r>
      <w:r w:rsidR="00EA75DA" w:rsidRPr="00D067AE">
        <w:rPr>
          <w:rFonts w:ascii="Times New Roman" w:hAnsi="Times New Roman"/>
          <w:b/>
        </w:rPr>
        <w:t>5</w:t>
      </w:r>
      <w:r w:rsidR="00775FF7" w:rsidRPr="00D067AE">
        <w:rPr>
          <w:rFonts w:ascii="Times New Roman" w:hAnsi="Times New Roman"/>
          <w:b/>
        </w:rPr>
        <w:t xml:space="preserve">. </w:t>
      </w:r>
      <w:r w:rsidR="00A16813" w:rsidRPr="00D067AE">
        <w:rPr>
          <w:rFonts w:ascii="Times New Roman" w:hAnsi="Times New Roman"/>
          <w:b/>
        </w:rPr>
        <w:t>Agent-based Simulation Results</w:t>
      </w:r>
      <w:r w:rsidR="00265408" w:rsidRPr="00D067AE">
        <w:rPr>
          <w:rFonts w:ascii="Times New Roman" w:hAnsi="Times New Roman"/>
          <w:b/>
        </w:rPr>
        <w:t xml:space="preserve"> </w:t>
      </w:r>
      <w:r w:rsidR="00265408" w:rsidRPr="00D067AE">
        <w:rPr>
          <w:rFonts w:ascii="Times New Roman" w:hAnsi="Times New Roman"/>
          <w:b/>
        </w:rPr>
        <w:br/>
      </w:r>
      <w:r w:rsidR="00EA75DA" w:rsidRPr="003D1B55">
        <w:rPr>
          <w:rFonts w:ascii="Times New Roman" w:hAnsi="Times New Roman"/>
          <w:b/>
        </w:rPr>
        <w:t>5</w:t>
      </w:r>
      <w:r w:rsidR="00775FF7" w:rsidRPr="003D1B55">
        <w:rPr>
          <w:rFonts w:ascii="Times New Roman" w:hAnsi="Times New Roman"/>
          <w:b/>
        </w:rPr>
        <w:t xml:space="preserve">.1 </w:t>
      </w:r>
      <w:r w:rsidR="0017181A" w:rsidRPr="003D1B55">
        <w:rPr>
          <w:rFonts w:ascii="Times New Roman" w:hAnsi="Times New Roman"/>
          <w:b/>
        </w:rPr>
        <w:t>Growth of RMBS Holding</w:t>
      </w:r>
      <w:r w:rsidR="00EA75DA" w:rsidRPr="003D1B55">
        <w:rPr>
          <w:rFonts w:ascii="Times New Roman" w:hAnsi="Times New Roman"/>
          <w:b/>
        </w:rPr>
        <w:t>s</w:t>
      </w:r>
      <w:r w:rsidR="0017181A" w:rsidRPr="003D1B55">
        <w:rPr>
          <w:rFonts w:ascii="Times New Roman" w:hAnsi="Times New Roman"/>
          <w:b/>
        </w:rPr>
        <w:t xml:space="preserve"> by FDIC Banks From Capital Arbitrage</w:t>
      </w:r>
      <w:r w:rsidR="003D1B55">
        <w:rPr>
          <w:rFonts w:ascii="Times New Roman" w:hAnsi="Times New Roman"/>
          <w:b/>
        </w:rPr>
        <w:br/>
      </w:r>
      <w:r w:rsidR="00BC323E" w:rsidRPr="003D1B55">
        <w:rPr>
          <w:rFonts w:ascii="Times New Roman" w:hAnsi="Times New Roman"/>
        </w:rPr>
        <w:t>T</w:t>
      </w:r>
      <w:r w:rsidR="00F13361" w:rsidRPr="003D1B55">
        <w:rPr>
          <w:rFonts w:ascii="Times New Roman" w:hAnsi="Times New Roman"/>
        </w:rPr>
        <w:t xml:space="preserve">he </w:t>
      </w:r>
      <w:r w:rsidR="0054059E" w:rsidRPr="003D1B55">
        <w:rPr>
          <w:rFonts w:ascii="Times New Roman" w:hAnsi="Times New Roman"/>
        </w:rPr>
        <w:t xml:space="preserve">multi-agent </w:t>
      </w:r>
      <w:r w:rsidR="00F13361" w:rsidRPr="003D1B55">
        <w:rPr>
          <w:rFonts w:ascii="Times New Roman" w:hAnsi="Times New Roman"/>
        </w:rPr>
        <w:t>m</w:t>
      </w:r>
      <w:r w:rsidR="0054059E" w:rsidRPr="003D1B55">
        <w:rPr>
          <w:rFonts w:ascii="Times New Roman" w:hAnsi="Times New Roman"/>
        </w:rPr>
        <w:t xml:space="preserve">icro-simulation </w:t>
      </w:r>
      <w:r w:rsidR="00522AC8" w:rsidRPr="003D1B55">
        <w:rPr>
          <w:rFonts w:ascii="Times New Roman" w:hAnsi="Times New Roman"/>
        </w:rPr>
        <w:t>m</w:t>
      </w:r>
      <w:r w:rsidR="00F13361" w:rsidRPr="003D1B55">
        <w:rPr>
          <w:rFonts w:ascii="Times New Roman" w:hAnsi="Times New Roman"/>
        </w:rPr>
        <w:t xml:space="preserve">ethodology that aims to see how banks will respond to regulatory incentives and other well known arbitrage </w:t>
      </w:r>
      <w:r w:rsidR="002C2C87" w:rsidRPr="003D1B55">
        <w:rPr>
          <w:rFonts w:ascii="Times New Roman" w:hAnsi="Times New Roman"/>
        </w:rPr>
        <w:t>opp</w:t>
      </w:r>
      <w:r w:rsidR="00E54BB9" w:rsidRPr="003D1B55">
        <w:rPr>
          <w:rFonts w:ascii="Times New Roman" w:hAnsi="Times New Roman"/>
        </w:rPr>
        <w:t>o</w:t>
      </w:r>
      <w:r w:rsidR="002C2C87" w:rsidRPr="003D1B55">
        <w:rPr>
          <w:rFonts w:ascii="Times New Roman" w:hAnsi="Times New Roman"/>
        </w:rPr>
        <w:t>rtunities</w:t>
      </w:r>
      <w:r w:rsidR="00F13361" w:rsidRPr="003D1B55">
        <w:rPr>
          <w:rFonts w:ascii="Times New Roman" w:hAnsi="Times New Roman"/>
        </w:rPr>
        <w:t xml:space="preserve"> </w:t>
      </w:r>
      <w:r w:rsidR="0054059E" w:rsidRPr="003D1B55">
        <w:rPr>
          <w:rFonts w:ascii="Times New Roman" w:hAnsi="Times New Roman"/>
        </w:rPr>
        <w:t>given market conditions start</w:t>
      </w:r>
      <w:r w:rsidR="00C970E8" w:rsidRPr="003D1B55">
        <w:rPr>
          <w:rFonts w:ascii="Times New Roman" w:hAnsi="Times New Roman"/>
        </w:rPr>
        <w:t>s</w:t>
      </w:r>
      <w:r w:rsidR="0054059E" w:rsidRPr="003D1B55">
        <w:rPr>
          <w:rFonts w:ascii="Times New Roman" w:hAnsi="Times New Roman"/>
        </w:rPr>
        <w:t xml:space="preserve"> the simulation off at an initial date at which their balance sheet data anchors their strategies.  At 2006Q1, the 26 banks that the</w:t>
      </w:r>
      <w:r w:rsidR="00522AC8" w:rsidRPr="003D1B55">
        <w:rPr>
          <w:rFonts w:ascii="Times New Roman" w:hAnsi="Times New Roman"/>
        </w:rPr>
        <w:t xml:space="preserve"> FDIC</w:t>
      </w:r>
      <w:r w:rsidR="0054059E" w:rsidRPr="003D1B55">
        <w:rPr>
          <w:rFonts w:ascii="Times New Roman" w:hAnsi="Times New Roman"/>
        </w:rPr>
        <w:t xml:space="preserve"> data base presents as having both RMBS and CDS activities were found to have $</w:t>
      </w:r>
      <w:r w:rsidR="00C970E8" w:rsidRPr="003D1B55">
        <w:rPr>
          <w:rFonts w:ascii="Times New Roman" w:hAnsi="Times New Roman"/>
        </w:rPr>
        <w:t>602</w:t>
      </w:r>
      <w:r w:rsidR="0054059E" w:rsidRPr="003D1B55">
        <w:rPr>
          <w:rFonts w:ascii="Times New Roman" w:hAnsi="Times New Roman"/>
        </w:rPr>
        <w:t>.</w:t>
      </w:r>
      <w:r w:rsidR="00C970E8" w:rsidRPr="003D1B55">
        <w:rPr>
          <w:rFonts w:ascii="Times New Roman" w:hAnsi="Times New Roman"/>
        </w:rPr>
        <w:t>34</w:t>
      </w:r>
      <w:r w:rsidR="0054059E" w:rsidRPr="003D1B55">
        <w:rPr>
          <w:rFonts w:ascii="Times New Roman" w:hAnsi="Times New Roman"/>
        </w:rPr>
        <w:t xml:space="preserve"> </w:t>
      </w:r>
      <w:proofErr w:type="spellStart"/>
      <w:r w:rsidR="0054059E" w:rsidRPr="003D1B55">
        <w:rPr>
          <w:rFonts w:ascii="Times New Roman" w:hAnsi="Times New Roman"/>
        </w:rPr>
        <w:t>bn</w:t>
      </w:r>
      <w:proofErr w:type="spellEnd"/>
      <w:r w:rsidR="0054059E" w:rsidRPr="003D1B55">
        <w:rPr>
          <w:rFonts w:ascii="Times New Roman" w:hAnsi="Times New Roman"/>
        </w:rPr>
        <w:t xml:space="preserve"> RMBS assets. </w:t>
      </w:r>
      <w:r w:rsidR="00A64E88" w:rsidRPr="003D1B55">
        <w:rPr>
          <w:rFonts w:ascii="Times New Roman" w:hAnsi="Times New Roman"/>
        </w:rPr>
        <w:t xml:space="preserve"> </w:t>
      </w:r>
      <w:r w:rsidR="0054059E" w:rsidRPr="003D1B55">
        <w:rPr>
          <w:rFonts w:ascii="Times New Roman" w:hAnsi="Times New Roman"/>
        </w:rPr>
        <w:t xml:space="preserve">Thereafter, the agents are only given the market related costs of leverage and the CDS basis </w:t>
      </w:r>
      <w:r w:rsidR="00775FF7" w:rsidRPr="003D1B55">
        <w:rPr>
          <w:rFonts w:ascii="Times New Roman" w:hAnsi="Times New Roman"/>
        </w:rPr>
        <w:t xml:space="preserve">and price </w:t>
      </w:r>
      <w:r w:rsidR="0054059E" w:rsidRPr="003D1B55">
        <w:rPr>
          <w:rFonts w:ascii="Times New Roman" w:hAnsi="Times New Roman"/>
        </w:rPr>
        <w:t xml:space="preserve">data at the end of each quarter </w:t>
      </w:r>
      <w:r w:rsidR="00CF6581" w:rsidRPr="003D1B55">
        <w:rPr>
          <w:rFonts w:ascii="Times New Roman" w:hAnsi="Times New Roman"/>
        </w:rPr>
        <w:t xml:space="preserve">(items </w:t>
      </w:r>
      <w:r w:rsidR="00A64E88" w:rsidRPr="003D1B55">
        <w:rPr>
          <w:rFonts w:ascii="Times New Roman" w:hAnsi="Times New Roman"/>
        </w:rPr>
        <w:t>8</w:t>
      </w:r>
      <w:r w:rsidR="00CF6581" w:rsidRPr="003D1B55">
        <w:rPr>
          <w:rFonts w:ascii="Times New Roman" w:hAnsi="Times New Roman"/>
        </w:rPr>
        <w:t xml:space="preserve">-9 in Table </w:t>
      </w:r>
      <w:r w:rsidR="00F61838" w:rsidRPr="003D1B55">
        <w:rPr>
          <w:rFonts w:ascii="Times New Roman" w:hAnsi="Times New Roman"/>
        </w:rPr>
        <w:t>2</w:t>
      </w:r>
      <w:r w:rsidR="00A4632F" w:rsidRPr="003D1B55">
        <w:rPr>
          <w:rFonts w:ascii="Times New Roman" w:hAnsi="Times New Roman"/>
        </w:rPr>
        <w:t>)</w:t>
      </w:r>
      <w:r w:rsidR="00204165" w:rsidRPr="003D1B55">
        <w:rPr>
          <w:rFonts w:ascii="Times New Roman" w:hAnsi="Times New Roman"/>
        </w:rPr>
        <w:t>. The rule based strategies given in Section 3.3 are implemented</w:t>
      </w:r>
      <w:r w:rsidR="0054059E" w:rsidRPr="003D1B55">
        <w:rPr>
          <w:rFonts w:ascii="Times New Roman" w:hAnsi="Times New Roman"/>
        </w:rPr>
        <w:t xml:space="preserve"> </w:t>
      </w:r>
      <w:r w:rsidR="0017181A" w:rsidRPr="003D1B55">
        <w:rPr>
          <w:rFonts w:ascii="Times New Roman" w:hAnsi="Times New Roman"/>
        </w:rPr>
        <w:t xml:space="preserve">for each bank </w:t>
      </w:r>
      <w:r w:rsidR="0054059E" w:rsidRPr="003D1B55">
        <w:rPr>
          <w:rFonts w:ascii="Times New Roman" w:hAnsi="Times New Roman"/>
        </w:rPr>
        <w:t xml:space="preserve">at the </w:t>
      </w:r>
      <w:r w:rsidR="00CF6581" w:rsidRPr="003D1B55">
        <w:rPr>
          <w:rFonts w:ascii="Times New Roman" w:hAnsi="Times New Roman"/>
        </w:rPr>
        <w:t xml:space="preserve">beginning of the </w:t>
      </w:r>
      <w:r w:rsidR="00204165" w:rsidRPr="003D1B55">
        <w:rPr>
          <w:rFonts w:ascii="Times New Roman" w:hAnsi="Times New Roman"/>
        </w:rPr>
        <w:t>each</w:t>
      </w:r>
      <w:r w:rsidR="00CF6581" w:rsidRPr="003D1B55">
        <w:rPr>
          <w:rFonts w:ascii="Times New Roman" w:hAnsi="Times New Roman"/>
        </w:rPr>
        <w:t xml:space="preserve"> quarter</w:t>
      </w:r>
      <w:r w:rsidR="00522AC8" w:rsidRPr="003D1B55">
        <w:rPr>
          <w:rFonts w:ascii="Times New Roman" w:hAnsi="Times New Roman"/>
        </w:rPr>
        <w:t>.</w:t>
      </w:r>
      <w:r w:rsidR="00CF6581" w:rsidRPr="003D1B55">
        <w:rPr>
          <w:rFonts w:ascii="Times New Roman" w:hAnsi="Times New Roman"/>
        </w:rPr>
        <w:t xml:space="preserve"> </w:t>
      </w:r>
      <w:r w:rsidR="00EC7599" w:rsidRPr="003D1B55">
        <w:rPr>
          <w:rFonts w:ascii="Times New Roman" w:hAnsi="Times New Roman"/>
        </w:rPr>
        <w:t xml:space="preserve"> </w:t>
      </w:r>
      <w:r w:rsidR="00522AC8" w:rsidRPr="003D1B55">
        <w:rPr>
          <w:rFonts w:ascii="Times New Roman" w:hAnsi="Times New Roman"/>
        </w:rPr>
        <w:t>T</w:t>
      </w:r>
      <w:r w:rsidR="00CF6581" w:rsidRPr="003D1B55">
        <w:rPr>
          <w:rFonts w:ascii="Times New Roman" w:hAnsi="Times New Roman"/>
        </w:rPr>
        <w:t xml:space="preserve">he </w:t>
      </w:r>
      <w:r w:rsidR="00522AC8" w:rsidRPr="003D1B55">
        <w:rPr>
          <w:rFonts w:ascii="Times New Roman" w:hAnsi="Times New Roman"/>
        </w:rPr>
        <w:t xml:space="preserve">simulation </w:t>
      </w:r>
      <w:r w:rsidR="00CF6581" w:rsidRPr="003D1B55">
        <w:rPr>
          <w:rFonts w:ascii="Times New Roman" w:hAnsi="Times New Roman"/>
        </w:rPr>
        <w:t xml:space="preserve">outputs such as the returns/profits </w:t>
      </w:r>
      <w:r w:rsidR="00522AC8" w:rsidRPr="003D1B55">
        <w:rPr>
          <w:rFonts w:ascii="Times New Roman" w:hAnsi="Times New Roman"/>
        </w:rPr>
        <w:t xml:space="preserve">of the strategies </w:t>
      </w:r>
      <w:r w:rsidR="00A4632F" w:rsidRPr="003D1B55">
        <w:rPr>
          <w:rFonts w:ascii="Times New Roman" w:hAnsi="Times New Roman"/>
        </w:rPr>
        <w:t>are</w:t>
      </w:r>
      <w:r w:rsidR="00CF6581" w:rsidRPr="003D1B55">
        <w:rPr>
          <w:rFonts w:ascii="Times New Roman" w:hAnsi="Times New Roman"/>
        </w:rPr>
        <w:t xml:space="preserve"> </w:t>
      </w:r>
      <w:r w:rsidR="00A4632F" w:rsidRPr="003D1B55">
        <w:rPr>
          <w:rFonts w:ascii="Times New Roman" w:hAnsi="Times New Roman"/>
        </w:rPr>
        <w:t xml:space="preserve">tallied up </w:t>
      </w:r>
      <w:r w:rsidR="00CF6581" w:rsidRPr="003D1B55">
        <w:rPr>
          <w:rFonts w:ascii="Times New Roman" w:hAnsi="Times New Roman"/>
        </w:rPr>
        <w:t>at the end of the same quarter</w:t>
      </w:r>
      <w:r w:rsidR="00522AC8" w:rsidRPr="003D1B55">
        <w:rPr>
          <w:rFonts w:ascii="Times New Roman" w:hAnsi="Times New Roman"/>
        </w:rPr>
        <w:t xml:space="preserve"> and </w:t>
      </w:r>
      <w:r w:rsidR="00A4632F" w:rsidRPr="003D1B55">
        <w:rPr>
          <w:rFonts w:ascii="Times New Roman" w:hAnsi="Times New Roman"/>
        </w:rPr>
        <w:t xml:space="preserve">so are </w:t>
      </w:r>
      <w:r w:rsidR="00522AC8" w:rsidRPr="003D1B55">
        <w:rPr>
          <w:rFonts w:ascii="Times New Roman" w:hAnsi="Times New Roman"/>
        </w:rPr>
        <w:t>the banks</w:t>
      </w:r>
      <w:r w:rsidR="003F5894" w:rsidRPr="003D1B55">
        <w:rPr>
          <w:rFonts w:ascii="Times New Roman" w:hAnsi="Times New Roman"/>
        </w:rPr>
        <w:t>’</w:t>
      </w:r>
      <w:r w:rsidR="00522AC8" w:rsidRPr="003D1B55">
        <w:rPr>
          <w:rFonts w:ascii="Times New Roman" w:hAnsi="Times New Roman"/>
        </w:rPr>
        <w:t xml:space="preserve"> balance sheet </w:t>
      </w:r>
      <w:r w:rsidR="003F5894" w:rsidRPr="003D1B55">
        <w:rPr>
          <w:rFonts w:ascii="Times New Roman" w:hAnsi="Times New Roman"/>
        </w:rPr>
        <w:t xml:space="preserve">RMBS holdings </w:t>
      </w:r>
      <w:r w:rsidR="00522AC8" w:rsidRPr="003D1B55">
        <w:rPr>
          <w:rFonts w:ascii="Times New Roman" w:hAnsi="Times New Roman"/>
        </w:rPr>
        <w:t>and off balance sheet demand for CDS purchases</w:t>
      </w:r>
      <w:r w:rsidR="00CF6581" w:rsidRPr="003D1B55">
        <w:rPr>
          <w:rFonts w:ascii="Times New Roman" w:hAnsi="Times New Roman"/>
        </w:rPr>
        <w:t xml:space="preserve">. Where applicable the balance sheet RMBS holding are </w:t>
      </w:r>
      <w:proofErr w:type="spellStart"/>
      <w:r w:rsidR="00CF6581" w:rsidRPr="003D1B55">
        <w:rPr>
          <w:rFonts w:ascii="Times New Roman" w:hAnsi="Times New Roman"/>
        </w:rPr>
        <w:t>revalued</w:t>
      </w:r>
      <w:proofErr w:type="spellEnd"/>
      <w:r w:rsidR="00CF6581" w:rsidRPr="003D1B55">
        <w:rPr>
          <w:rFonts w:ascii="Times New Roman" w:hAnsi="Times New Roman"/>
        </w:rPr>
        <w:t xml:space="preserve"> </w:t>
      </w:r>
      <w:r w:rsidR="00A05E1D" w:rsidRPr="003D1B55">
        <w:rPr>
          <w:rFonts w:ascii="Times New Roman" w:hAnsi="Times New Roman"/>
        </w:rPr>
        <w:t xml:space="preserve">as dictated by the ABX-HE index prices.  </w:t>
      </w:r>
      <w:r w:rsidR="00F61838" w:rsidRPr="003D1B55">
        <w:rPr>
          <w:rFonts w:ascii="Times New Roman" w:hAnsi="Times New Roman"/>
        </w:rPr>
        <w:t>This is set out in row 3 of Table 2.</w:t>
      </w:r>
      <w:r w:rsidR="00C43307" w:rsidRPr="003D1B55">
        <w:rPr>
          <w:rFonts w:ascii="Times New Roman" w:hAnsi="Times New Roman"/>
        </w:rPr>
        <w:t xml:space="preserve"> </w:t>
      </w:r>
      <w:r w:rsidR="00EA75DA" w:rsidRPr="003D1B55">
        <w:rPr>
          <w:rFonts w:ascii="Times New Roman" w:hAnsi="Times New Roman"/>
        </w:rPr>
        <w:t xml:space="preserve">Using no extraneous assumptions except those driving capital arbitrage and CDS negative carry trade, we see in Figure 10 that the simulation in the case with leverage almost exactly mirrors the actual RMBS build up on bank’s balance sheets.  </w:t>
      </w:r>
      <w:r w:rsidR="00EA75DA" w:rsidRPr="003D1B55">
        <w:rPr>
          <w:rFonts w:ascii="Times New Roman" w:hAnsi="Times New Roman"/>
        </w:rPr>
        <w:br/>
      </w:r>
      <w:r w:rsidR="00EA75DA">
        <w:rPr>
          <w:rFonts w:ascii="Times New Roman" w:hAnsi="Times New Roman"/>
          <w:i/>
        </w:rPr>
        <w:br/>
      </w:r>
    </w:p>
    <w:p w:rsidR="00EA75DA" w:rsidRDefault="00B2698A" w:rsidP="003D1B55">
      <w:pPr>
        <w:spacing w:line="360" w:lineRule="auto"/>
        <w:rPr>
          <w:rFonts w:ascii="Times New Roman" w:hAnsi="Times New Roman"/>
          <w:b/>
          <w:i/>
        </w:rPr>
      </w:pPr>
      <w:r w:rsidRPr="000D645F">
        <w:rPr>
          <w:rFonts w:ascii="Times New Roman" w:hAnsi="Times New Roman"/>
          <w:b/>
        </w:rPr>
        <w:lastRenderedPageBreak/>
        <w:t xml:space="preserve">Figure </w:t>
      </w:r>
      <w:r w:rsidR="00204165" w:rsidRPr="000D645F">
        <w:rPr>
          <w:rFonts w:ascii="Times New Roman" w:hAnsi="Times New Roman"/>
          <w:b/>
        </w:rPr>
        <w:t>10:  Actual</w:t>
      </w:r>
      <w:r w:rsidR="00EA75DA" w:rsidRPr="000D645F">
        <w:rPr>
          <w:rFonts w:ascii="Times New Roman" w:hAnsi="Times New Roman"/>
          <w:b/>
        </w:rPr>
        <w:t xml:space="preserve"> (FDIC Data)</w:t>
      </w:r>
      <w:r w:rsidR="00204165" w:rsidRPr="000D645F">
        <w:rPr>
          <w:rFonts w:ascii="Times New Roman" w:hAnsi="Times New Roman"/>
          <w:b/>
        </w:rPr>
        <w:t xml:space="preserve"> and Simulated Results for Banks’ Holdings of RMBS Assets (2006Q1- 2007Q3)</w:t>
      </w:r>
      <w:r w:rsidR="009E5683" w:rsidRPr="000D645F">
        <w:rPr>
          <w:rFonts w:ascii="Times New Roman" w:hAnsi="Times New Roman"/>
          <w:b/>
        </w:rPr>
        <w:br/>
      </w:r>
      <w:r w:rsidR="009E5683">
        <w:rPr>
          <w:noProof/>
          <w:lang w:eastAsia="en-GB"/>
        </w:rPr>
        <w:drawing>
          <wp:inline distT="0" distB="0" distL="0" distR="0">
            <wp:extent cx="5981700" cy="3629025"/>
            <wp:effectExtent l="19050" t="0" r="19050" b="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17181A">
        <w:rPr>
          <w:rFonts w:ascii="Times New Roman" w:hAnsi="Times New Roman"/>
          <w:i/>
        </w:rPr>
        <w:br/>
      </w:r>
    </w:p>
    <w:p w:rsidR="00096160" w:rsidRPr="00F61838" w:rsidRDefault="0017181A" w:rsidP="0017181A">
      <w:pPr>
        <w:pStyle w:val="Heading2"/>
        <w:numPr>
          <w:ilvl w:val="0"/>
          <w:numId w:val="0"/>
        </w:numPr>
        <w:spacing w:line="360" w:lineRule="auto"/>
        <w:jc w:val="left"/>
        <w:rPr>
          <w:rFonts w:ascii="Times New Roman" w:hAnsi="Times New Roman"/>
          <w:b w:val="0"/>
          <w:i w:val="0"/>
          <w:sz w:val="22"/>
          <w:szCs w:val="22"/>
        </w:rPr>
      </w:pPr>
      <w:r w:rsidRPr="00F61838">
        <w:rPr>
          <w:rFonts w:ascii="Times New Roman" w:hAnsi="Times New Roman"/>
          <w:b w:val="0"/>
          <w:i w:val="0"/>
          <w:sz w:val="22"/>
          <w:szCs w:val="22"/>
        </w:rPr>
        <w:t xml:space="preserve">The breakdown of the results is reported in Table 2. </w:t>
      </w:r>
      <w:r w:rsidR="00C43307">
        <w:rPr>
          <w:rFonts w:ascii="Times New Roman" w:hAnsi="Times New Roman"/>
          <w:b w:val="0"/>
          <w:i w:val="0"/>
          <w:sz w:val="22"/>
          <w:szCs w:val="22"/>
        </w:rPr>
        <w:t xml:space="preserve"> We find</w:t>
      </w:r>
      <w:r w:rsidRPr="00F61838">
        <w:rPr>
          <w:rFonts w:ascii="Times New Roman" w:hAnsi="Times New Roman"/>
          <w:b w:val="0"/>
          <w:i w:val="0"/>
          <w:sz w:val="22"/>
          <w:szCs w:val="22"/>
        </w:rPr>
        <w:t xml:space="preserve"> that the initial realized aggregate capital savings of $20.23 b</w:t>
      </w:r>
      <w:r w:rsidR="00490BB3">
        <w:rPr>
          <w:rFonts w:ascii="Times New Roman" w:hAnsi="Times New Roman"/>
          <w:b w:val="0"/>
          <w:i w:val="0"/>
          <w:sz w:val="22"/>
          <w:szCs w:val="22"/>
        </w:rPr>
        <w:t>illio</w:t>
      </w:r>
      <w:r w:rsidRPr="00F61838">
        <w:rPr>
          <w:rFonts w:ascii="Times New Roman" w:hAnsi="Times New Roman"/>
          <w:b w:val="0"/>
          <w:i w:val="0"/>
          <w:sz w:val="22"/>
          <w:szCs w:val="22"/>
        </w:rPr>
        <w:t>n in 2006 Q1 from capital arbitrage</w:t>
      </w:r>
      <w:r w:rsidR="00F61838">
        <w:rPr>
          <w:rFonts w:ascii="Times New Roman" w:hAnsi="Times New Roman"/>
          <w:b w:val="0"/>
          <w:i w:val="0"/>
          <w:sz w:val="22"/>
          <w:szCs w:val="22"/>
        </w:rPr>
        <w:t xml:space="preserve"> </w:t>
      </w:r>
      <w:r w:rsidRPr="00F61838">
        <w:rPr>
          <w:rFonts w:ascii="Times New Roman" w:hAnsi="Times New Roman"/>
          <w:b w:val="0"/>
          <w:i w:val="0"/>
          <w:sz w:val="22"/>
          <w:szCs w:val="22"/>
        </w:rPr>
        <w:t>which corresponded to CRT rules, helped kick start the CDS carry trade which netted $</w:t>
      </w:r>
      <w:r w:rsidR="00E31338">
        <w:rPr>
          <w:rFonts w:ascii="Times New Roman" w:hAnsi="Times New Roman"/>
          <w:b w:val="0"/>
          <w:i w:val="0"/>
          <w:sz w:val="22"/>
          <w:szCs w:val="22"/>
        </w:rPr>
        <w:t>8</w:t>
      </w:r>
      <w:r w:rsidRPr="00F61838">
        <w:rPr>
          <w:rFonts w:ascii="Times New Roman" w:hAnsi="Times New Roman"/>
          <w:b w:val="0"/>
          <w:i w:val="0"/>
          <w:sz w:val="22"/>
          <w:szCs w:val="22"/>
        </w:rPr>
        <w:t>.</w:t>
      </w:r>
      <w:r w:rsidR="00E31338">
        <w:rPr>
          <w:rFonts w:ascii="Times New Roman" w:hAnsi="Times New Roman"/>
          <w:b w:val="0"/>
          <w:i w:val="0"/>
          <w:sz w:val="22"/>
          <w:szCs w:val="22"/>
        </w:rPr>
        <w:t>31</w:t>
      </w:r>
      <w:r w:rsidRPr="00F61838">
        <w:rPr>
          <w:rFonts w:ascii="Times New Roman" w:hAnsi="Times New Roman"/>
          <w:b w:val="0"/>
          <w:i w:val="0"/>
          <w:sz w:val="22"/>
          <w:szCs w:val="22"/>
        </w:rPr>
        <w:t xml:space="preserve"> b</w:t>
      </w:r>
      <w:r w:rsidR="00490BB3">
        <w:rPr>
          <w:rFonts w:ascii="Times New Roman" w:hAnsi="Times New Roman"/>
          <w:b w:val="0"/>
          <w:i w:val="0"/>
          <w:sz w:val="22"/>
          <w:szCs w:val="22"/>
        </w:rPr>
        <w:t>illion</w:t>
      </w:r>
      <w:r w:rsidRPr="00F61838">
        <w:rPr>
          <w:rFonts w:ascii="Times New Roman" w:hAnsi="Times New Roman"/>
          <w:b w:val="0"/>
          <w:i w:val="0"/>
          <w:sz w:val="22"/>
          <w:szCs w:val="22"/>
        </w:rPr>
        <w:t xml:space="preserve"> at the best negative basis for the BBB sub index of the mezzanine tranche. What is clear is that a leveraged self-financing reinvestment of the carry trade profits</w:t>
      </w:r>
      <w:r w:rsidR="002645A1">
        <w:rPr>
          <w:rFonts w:ascii="Times New Roman" w:hAnsi="Times New Roman"/>
          <w:b w:val="0"/>
          <w:i w:val="0"/>
          <w:sz w:val="22"/>
          <w:szCs w:val="22"/>
        </w:rPr>
        <w:t xml:space="preserve"> </w:t>
      </w:r>
      <w:proofErr w:type="gramStart"/>
      <w:r w:rsidR="002645A1">
        <w:rPr>
          <w:rFonts w:ascii="Times New Roman" w:hAnsi="Times New Roman"/>
          <w:b w:val="0"/>
          <w:i w:val="0"/>
          <w:sz w:val="22"/>
          <w:szCs w:val="22"/>
        </w:rPr>
        <w:t xml:space="preserve">of  </w:t>
      </w:r>
      <w:r w:rsidR="002645A1" w:rsidRPr="00F61838">
        <w:rPr>
          <w:rFonts w:ascii="Times New Roman" w:hAnsi="Times New Roman"/>
          <w:b w:val="0"/>
          <w:i w:val="0"/>
          <w:sz w:val="22"/>
          <w:szCs w:val="22"/>
        </w:rPr>
        <w:t>$</w:t>
      </w:r>
      <w:proofErr w:type="gramEnd"/>
      <w:r w:rsidR="003238D3">
        <w:rPr>
          <w:rFonts w:ascii="Times New Roman" w:hAnsi="Times New Roman"/>
          <w:b w:val="0"/>
          <w:i w:val="0"/>
          <w:sz w:val="22"/>
          <w:szCs w:val="22"/>
        </w:rPr>
        <w:t>8.31</w:t>
      </w:r>
      <w:r w:rsidR="002645A1" w:rsidRPr="00F61838">
        <w:rPr>
          <w:rFonts w:ascii="Times New Roman" w:hAnsi="Times New Roman"/>
          <w:b w:val="0"/>
          <w:i w:val="0"/>
          <w:sz w:val="22"/>
          <w:szCs w:val="22"/>
        </w:rPr>
        <w:t xml:space="preserve"> b</w:t>
      </w:r>
      <w:r w:rsidR="00490BB3">
        <w:rPr>
          <w:rFonts w:ascii="Times New Roman" w:hAnsi="Times New Roman"/>
          <w:b w:val="0"/>
          <w:i w:val="0"/>
          <w:sz w:val="22"/>
          <w:szCs w:val="22"/>
        </w:rPr>
        <w:t>illion</w:t>
      </w:r>
      <w:r w:rsidR="002645A1">
        <w:rPr>
          <w:rFonts w:ascii="Times New Roman" w:hAnsi="Times New Roman"/>
          <w:b w:val="0"/>
          <w:i w:val="0"/>
          <w:sz w:val="22"/>
          <w:szCs w:val="22"/>
        </w:rPr>
        <w:t xml:space="preserve"> produc</w:t>
      </w:r>
      <w:r w:rsidR="007E71EC">
        <w:rPr>
          <w:rFonts w:ascii="Times New Roman" w:hAnsi="Times New Roman"/>
          <w:b w:val="0"/>
          <w:i w:val="0"/>
          <w:sz w:val="22"/>
          <w:szCs w:val="22"/>
        </w:rPr>
        <w:t>ed</w:t>
      </w:r>
      <w:r w:rsidR="002645A1">
        <w:rPr>
          <w:rFonts w:ascii="Times New Roman" w:hAnsi="Times New Roman"/>
          <w:b w:val="0"/>
          <w:i w:val="0"/>
          <w:sz w:val="22"/>
          <w:szCs w:val="22"/>
        </w:rPr>
        <w:t xml:space="preserve"> a total of $114.3</w:t>
      </w:r>
      <w:r w:rsidR="00EA75DA">
        <w:rPr>
          <w:rFonts w:ascii="Times New Roman" w:hAnsi="Times New Roman"/>
          <w:b w:val="0"/>
          <w:i w:val="0"/>
          <w:sz w:val="22"/>
          <w:szCs w:val="22"/>
        </w:rPr>
        <w:t>6</w:t>
      </w:r>
      <w:r w:rsidR="002645A1">
        <w:rPr>
          <w:rFonts w:ascii="Times New Roman" w:hAnsi="Times New Roman"/>
          <w:b w:val="0"/>
          <w:i w:val="0"/>
          <w:sz w:val="22"/>
          <w:szCs w:val="22"/>
        </w:rPr>
        <w:t>7</w:t>
      </w:r>
      <w:r w:rsidR="00EA75DA">
        <w:rPr>
          <w:rFonts w:ascii="Times New Roman" w:hAnsi="Times New Roman"/>
          <w:b w:val="0"/>
          <w:i w:val="0"/>
          <w:sz w:val="22"/>
          <w:szCs w:val="22"/>
        </w:rPr>
        <w:t xml:space="preserve"> </w:t>
      </w:r>
      <w:r w:rsidR="002645A1">
        <w:rPr>
          <w:rFonts w:ascii="Times New Roman" w:hAnsi="Times New Roman"/>
          <w:b w:val="0"/>
          <w:i w:val="0"/>
          <w:sz w:val="22"/>
          <w:szCs w:val="22"/>
        </w:rPr>
        <w:t>b</w:t>
      </w:r>
      <w:r w:rsidR="00490BB3">
        <w:rPr>
          <w:rFonts w:ascii="Times New Roman" w:hAnsi="Times New Roman"/>
          <w:b w:val="0"/>
          <w:i w:val="0"/>
          <w:sz w:val="22"/>
          <w:szCs w:val="22"/>
        </w:rPr>
        <w:t>illion</w:t>
      </w:r>
      <w:r w:rsidR="002645A1">
        <w:rPr>
          <w:rFonts w:ascii="Times New Roman" w:hAnsi="Times New Roman"/>
          <w:b w:val="0"/>
          <w:i w:val="0"/>
          <w:sz w:val="22"/>
          <w:szCs w:val="22"/>
        </w:rPr>
        <w:t xml:space="preserve"> of  funds generated </w:t>
      </w:r>
      <w:r w:rsidRPr="00F61838">
        <w:rPr>
          <w:rFonts w:ascii="Times New Roman" w:hAnsi="Times New Roman"/>
          <w:b w:val="0"/>
          <w:i w:val="0"/>
          <w:sz w:val="22"/>
          <w:szCs w:val="22"/>
        </w:rPr>
        <w:t>in sequence</w:t>
      </w:r>
      <w:r w:rsidR="002645A1">
        <w:rPr>
          <w:rFonts w:ascii="Times New Roman" w:hAnsi="Times New Roman"/>
          <w:b w:val="0"/>
          <w:i w:val="0"/>
          <w:sz w:val="22"/>
          <w:szCs w:val="22"/>
        </w:rPr>
        <w:t xml:space="preserve"> (see Table 2 row 6)</w:t>
      </w:r>
      <w:r w:rsidRPr="00F61838">
        <w:rPr>
          <w:rFonts w:ascii="Times New Roman" w:hAnsi="Times New Roman"/>
          <w:b w:val="0"/>
          <w:i w:val="0"/>
          <w:sz w:val="22"/>
          <w:szCs w:val="22"/>
        </w:rPr>
        <w:t>, for the duration of the negative basis</w:t>
      </w:r>
      <w:r w:rsidR="007E71EC">
        <w:rPr>
          <w:rFonts w:ascii="Times New Roman" w:hAnsi="Times New Roman"/>
          <w:b w:val="0"/>
          <w:i w:val="0"/>
          <w:sz w:val="22"/>
          <w:szCs w:val="22"/>
        </w:rPr>
        <w:t>.  In other words</w:t>
      </w:r>
      <w:r w:rsidRPr="00F61838">
        <w:rPr>
          <w:rFonts w:ascii="Times New Roman" w:hAnsi="Times New Roman"/>
          <w:b w:val="0"/>
          <w:i w:val="0"/>
          <w:sz w:val="22"/>
          <w:szCs w:val="22"/>
        </w:rPr>
        <w:t xml:space="preserve">, </w:t>
      </w:r>
      <w:r w:rsidR="007E71EC">
        <w:rPr>
          <w:rFonts w:ascii="Times New Roman" w:hAnsi="Times New Roman"/>
          <w:b w:val="0"/>
          <w:i w:val="0"/>
          <w:sz w:val="22"/>
          <w:szCs w:val="22"/>
        </w:rPr>
        <w:t>substantial leveraging is</w:t>
      </w:r>
      <w:r w:rsidR="006A2CC3">
        <w:rPr>
          <w:rFonts w:ascii="Times New Roman" w:hAnsi="Times New Roman"/>
          <w:b w:val="0"/>
          <w:i w:val="0"/>
          <w:sz w:val="22"/>
          <w:szCs w:val="22"/>
        </w:rPr>
        <w:t xml:space="preserve"> needed </w:t>
      </w:r>
      <w:r w:rsidRPr="00F61838">
        <w:rPr>
          <w:rFonts w:ascii="Times New Roman" w:hAnsi="Times New Roman"/>
          <w:b w:val="0"/>
          <w:i w:val="0"/>
          <w:sz w:val="22"/>
          <w:szCs w:val="22"/>
        </w:rPr>
        <w:t>for the US banking sector to grow their RMBS assets from $0.6trillion</w:t>
      </w:r>
      <w:r w:rsidR="00E31338">
        <w:rPr>
          <w:rFonts w:ascii="Times New Roman" w:hAnsi="Times New Roman"/>
          <w:b w:val="0"/>
          <w:i w:val="0"/>
          <w:sz w:val="22"/>
          <w:szCs w:val="22"/>
        </w:rPr>
        <w:t xml:space="preserve"> in 2006 Q1</w:t>
      </w:r>
      <w:r w:rsidRPr="00F61838">
        <w:rPr>
          <w:rFonts w:ascii="Times New Roman" w:hAnsi="Times New Roman"/>
          <w:b w:val="0"/>
          <w:i w:val="0"/>
          <w:sz w:val="22"/>
          <w:szCs w:val="22"/>
        </w:rPr>
        <w:t xml:space="preserve"> to about $0.7 trillion in 2007 Q2.  </w:t>
      </w:r>
      <w:r w:rsidR="006A2CC3">
        <w:rPr>
          <w:rFonts w:ascii="Times New Roman" w:hAnsi="Times New Roman"/>
          <w:b w:val="0"/>
          <w:i w:val="0"/>
          <w:sz w:val="22"/>
          <w:szCs w:val="22"/>
        </w:rPr>
        <w:t xml:space="preserve">Without leverage there is no explosive growth as seen in Figure 10.  </w:t>
      </w:r>
      <w:r w:rsidRPr="00F61838">
        <w:rPr>
          <w:rFonts w:ascii="Times New Roman" w:hAnsi="Times New Roman"/>
          <w:b w:val="0"/>
          <w:i w:val="0"/>
          <w:sz w:val="22"/>
          <w:szCs w:val="22"/>
        </w:rPr>
        <w:t xml:space="preserve">The down ward trend in RMBS holdings in the simulated data </w:t>
      </w:r>
      <w:r w:rsidR="00B27EA8">
        <w:rPr>
          <w:rFonts w:ascii="Times New Roman" w:hAnsi="Times New Roman"/>
          <w:b w:val="0"/>
          <w:i w:val="0"/>
          <w:sz w:val="22"/>
          <w:szCs w:val="22"/>
        </w:rPr>
        <w:t xml:space="preserve">in 2007 Q1-Q2 </w:t>
      </w:r>
      <w:r w:rsidRPr="00F61838">
        <w:rPr>
          <w:rFonts w:ascii="Times New Roman" w:hAnsi="Times New Roman"/>
          <w:b w:val="0"/>
          <w:i w:val="0"/>
          <w:sz w:val="22"/>
          <w:szCs w:val="22"/>
        </w:rPr>
        <w:t xml:space="preserve">come entirely from the downgrades primarily on the BBB and BBB- </w:t>
      </w:r>
      <w:proofErr w:type="spellStart"/>
      <w:r w:rsidRPr="00F61838">
        <w:rPr>
          <w:rFonts w:ascii="Times New Roman" w:hAnsi="Times New Roman"/>
          <w:b w:val="0"/>
          <w:i w:val="0"/>
          <w:sz w:val="22"/>
          <w:szCs w:val="22"/>
        </w:rPr>
        <w:t>subindexes</w:t>
      </w:r>
      <w:proofErr w:type="spellEnd"/>
      <w:r w:rsidRPr="00F61838">
        <w:rPr>
          <w:rFonts w:ascii="Times New Roman" w:hAnsi="Times New Roman"/>
          <w:b w:val="0"/>
          <w:i w:val="0"/>
          <w:sz w:val="22"/>
          <w:szCs w:val="22"/>
        </w:rPr>
        <w:t xml:space="preserve"> which were the most lucrative in the CDS trade</w:t>
      </w:r>
      <w:r w:rsidR="00B1291C">
        <w:rPr>
          <w:rFonts w:ascii="Times New Roman" w:hAnsi="Times New Roman"/>
          <w:b w:val="0"/>
          <w:i w:val="0"/>
          <w:sz w:val="22"/>
          <w:szCs w:val="22"/>
        </w:rPr>
        <w:t xml:space="preserve"> in the earlier quarters of 2006. </w:t>
      </w:r>
      <w:r w:rsidR="00E31338">
        <w:rPr>
          <w:rFonts w:ascii="Times New Roman" w:hAnsi="Times New Roman"/>
          <w:b w:val="0"/>
          <w:i w:val="0"/>
          <w:sz w:val="22"/>
          <w:szCs w:val="22"/>
        </w:rPr>
        <w:t xml:space="preserve"> </w:t>
      </w:r>
      <w:r w:rsidR="00C40444">
        <w:rPr>
          <w:rFonts w:ascii="Times New Roman" w:hAnsi="Times New Roman"/>
          <w:b w:val="0"/>
          <w:i w:val="0"/>
          <w:sz w:val="22"/>
          <w:szCs w:val="22"/>
        </w:rPr>
        <w:t>Table 2 row 3 explains this</w:t>
      </w:r>
      <w:r w:rsidRPr="00F61838">
        <w:rPr>
          <w:rFonts w:ascii="Times New Roman" w:hAnsi="Times New Roman"/>
          <w:b w:val="0"/>
          <w:i w:val="0"/>
          <w:sz w:val="22"/>
          <w:szCs w:val="22"/>
        </w:rPr>
        <w:t>.</w:t>
      </w:r>
      <w:r w:rsidR="003D1B55">
        <w:rPr>
          <w:rFonts w:ascii="Times New Roman" w:hAnsi="Times New Roman"/>
          <w:b w:val="0"/>
          <w:i w:val="0"/>
          <w:sz w:val="22"/>
          <w:szCs w:val="22"/>
        </w:rPr>
        <w:br/>
      </w:r>
      <w:r w:rsidRPr="00F61838">
        <w:rPr>
          <w:rFonts w:ascii="Times New Roman" w:hAnsi="Times New Roman"/>
          <w:b w:val="0"/>
          <w:i w:val="0"/>
          <w:sz w:val="22"/>
          <w:szCs w:val="22"/>
        </w:rPr>
        <w:br/>
      </w:r>
      <w:r w:rsidR="00245AFD" w:rsidRPr="00F61838">
        <w:rPr>
          <w:rFonts w:ascii="Times New Roman" w:hAnsi="Times New Roman"/>
          <w:b w:val="0"/>
          <w:i w:val="0"/>
          <w:sz w:val="22"/>
          <w:szCs w:val="22"/>
        </w:rPr>
        <w:t xml:space="preserve">When considering how each of the banks fares, two typical cases stand out.  </w:t>
      </w:r>
      <w:r w:rsidR="006E6C1C" w:rsidRPr="00F61838">
        <w:rPr>
          <w:rFonts w:ascii="Times New Roman" w:hAnsi="Times New Roman"/>
          <w:b w:val="0"/>
          <w:i w:val="0"/>
          <w:sz w:val="22"/>
          <w:szCs w:val="22"/>
        </w:rPr>
        <w:t>Banks that were well established as holders of RMBS prior to 2006, such as Bank of America, suffer large downgrades in 2006 on their pre</w:t>
      </w:r>
      <w:r w:rsidR="00E5613C" w:rsidRPr="00F61838">
        <w:rPr>
          <w:rFonts w:ascii="Times New Roman" w:hAnsi="Times New Roman"/>
          <w:b w:val="0"/>
          <w:i w:val="0"/>
          <w:sz w:val="22"/>
          <w:szCs w:val="22"/>
        </w:rPr>
        <w:t>-2006</w:t>
      </w:r>
      <w:r w:rsidR="006E6C1C" w:rsidRPr="00F61838">
        <w:rPr>
          <w:rFonts w:ascii="Times New Roman" w:hAnsi="Times New Roman"/>
          <w:b w:val="0"/>
          <w:i w:val="0"/>
          <w:sz w:val="22"/>
          <w:szCs w:val="22"/>
        </w:rPr>
        <w:t xml:space="preserve"> holdings</w:t>
      </w:r>
      <w:r w:rsidR="00E5613C" w:rsidRPr="00F61838">
        <w:rPr>
          <w:rFonts w:ascii="Times New Roman" w:hAnsi="Times New Roman"/>
          <w:b w:val="0"/>
          <w:i w:val="0"/>
          <w:sz w:val="22"/>
          <w:szCs w:val="22"/>
        </w:rPr>
        <w:t xml:space="preserve">, as shown in Figure </w:t>
      </w:r>
      <w:proofErr w:type="gramStart"/>
      <w:r w:rsidR="00C40444">
        <w:rPr>
          <w:rFonts w:ascii="Times New Roman" w:hAnsi="Times New Roman"/>
          <w:b w:val="0"/>
          <w:i w:val="0"/>
          <w:sz w:val="22"/>
          <w:szCs w:val="22"/>
        </w:rPr>
        <w:t>11.a</w:t>
      </w:r>
      <w:r w:rsidR="00E5613C" w:rsidRPr="00F61838">
        <w:rPr>
          <w:rFonts w:ascii="Times New Roman" w:hAnsi="Times New Roman"/>
          <w:b w:val="0"/>
          <w:i w:val="0"/>
          <w:sz w:val="22"/>
          <w:szCs w:val="22"/>
        </w:rPr>
        <w:t xml:space="preserve"> .</w:t>
      </w:r>
      <w:proofErr w:type="gramEnd"/>
      <w:r w:rsidR="00E5613C" w:rsidRPr="00F61838">
        <w:rPr>
          <w:rFonts w:ascii="Times New Roman" w:hAnsi="Times New Roman"/>
          <w:b w:val="0"/>
          <w:i w:val="0"/>
          <w:sz w:val="22"/>
          <w:szCs w:val="22"/>
        </w:rPr>
        <w:t xml:space="preserve">  This cannot be accounted for in the model that only has access to the ABX-HE price data.  In contrast, JP Morgan</w:t>
      </w:r>
      <w:r w:rsidR="00F72236" w:rsidRPr="00F61838">
        <w:rPr>
          <w:rFonts w:ascii="Times New Roman" w:hAnsi="Times New Roman"/>
          <w:b w:val="0"/>
          <w:i w:val="0"/>
          <w:sz w:val="22"/>
          <w:szCs w:val="22"/>
        </w:rPr>
        <w:t>, in Figure</w:t>
      </w:r>
      <w:r w:rsidR="00C40444">
        <w:rPr>
          <w:rFonts w:ascii="Times New Roman" w:hAnsi="Times New Roman"/>
          <w:b w:val="0"/>
          <w:i w:val="0"/>
          <w:sz w:val="22"/>
          <w:szCs w:val="22"/>
        </w:rPr>
        <w:t xml:space="preserve"> 11.b</w:t>
      </w:r>
      <w:r w:rsidR="00F72236" w:rsidRPr="00F61838">
        <w:rPr>
          <w:rFonts w:ascii="Times New Roman" w:hAnsi="Times New Roman"/>
          <w:b w:val="0"/>
          <w:i w:val="0"/>
          <w:sz w:val="22"/>
          <w:szCs w:val="22"/>
        </w:rPr>
        <w:t>,</w:t>
      </w:r>
      <w:r w:rsidR="00813E95">
        <w:rPr>
          <w:rFonts w:ascii="Times New Roman" w:hAnsi="Times New Roman"/>
          <w:b w:val="0"/>
          <w:i w:val="0"/>
          <w:sz w:val="22"/>
          <w:szCs w:val="22"/>
        </w:rPr>
        <w:t xml:space="preserve"> </w:t>
      </w:r>
      <w:r w:rsidR="00F72236" w:rsidRPr="00F61838">
        <w:rPr>
          <w:rFonts w:ascii="Times New Roman" w:hAnsi="Times New Roman"/>
          <w:b w:val="0"/>
          <w:i w:val="0"/>
          <w:sz w:val="22"/>
          <w:szCs w:val="22"/>
        </w:rPr>
        <w:t xml:space="preserve">which </w:t>
      </w:r>
      <w:r w:rsidR="00F72236" w:rsidRPr="00F61838">
        <w:rPr>
          <w:rFonts w:ascii="Times New Roman" w:hAnsi="Times New Roman"/>
          <w:b w:val="0"/>
          <w:i w:val="0"/>
          <w:sz w:val="22"/>
          <w:szCs w:val="22"/>
        </w:rPr>
        <w:lastRenderedPageBreak/>
        <w:t>aggressively doubles its holdings from $40</w:t>
      </w:r>
      <w:r w:rsidR="00490BB3">
        <w:rPr>
          <w:rFonts w:ascii="Times New Roman" w:hAnsi="Times New Roman"/>
          <w:b w:val="0"/>
          <w:i w:val="0"/>
          <w:sz w:val="22"/>
          <w:szCs w:val="22"/>
        </w:rPr>
        <w:t xml:space="preserve"> </w:t>
      </w:r>
      <w:r w:rsidR="00F72236" w:rsidRPr="00F61838">
        <w:rPr>
          <w:rFonts w:ascii="Times New Roman" w:hAnsi="Times New Roman"/>
          <w:b w:val="0"/>
          <w:i w:val="0"/>
          <w:sz w:val="22"/>
          <w:szCs w:val="22"/>
        </w:rPr>
        <w:t>b</w:t>
      </w:r>
      <w:r w:rsidR="00490BB3">
        <w:rPr>
          <w:rFonts w:ascii="Times New Roman" w:hAnsi="Times New Roman"/>
          <w:b w:val="0"/>
          <w:i w:val="0"/>
          <w:sz w:val="22"/>
          <w:szCs w:val="22"/>
        </w:rPr>
        <w:t>illio</w:t>
      </w:r>
      <w:r w:rsidR="00F72236" w:rsidRPr="00F61838">
        <w:rPr>
          <w:rFonts w:ascii="Times New Roman" w:hAnsi="Times New Roman"/>
          <w:b w:val="0"/>
          <w:i w:val="0"/>
          <w:sz w:val="22"/>
          <w:szCs w:val="22"/>
        </w:rPr>
        <w:t xml:space="preserve">n </w:t>
      </w:r>
      <w:r w:rsidR="00E31338">
        <w:rPr>
          <w:rFonts w:ascii="Times New Roman" w:hAnsi="Times New Roman"/>
          <w:b w:val="0"/>
          <w:i w:val="0"/>
          <w:sz w:val="22"/>
          <w:szCs w:val="22"/>
        </w:rPr>
        <w:t>to $75 b</w:t>
      </w:r>
      <w:r w:rsidR="00490BB3">
        <w:rPr>
          <w:rFonts w:ascii="Times New Roman" w:hAnsi="Times New Roman"/>
          <w:b w:val="0"/>
          <w:i w:val="0"/>
          <w:sz w:val="22"/>
          <w:szCs w:val="22"/>
        </w:rPr>
        <w:t>illio</w:t>
      </w:r>
      <w:r w:rsidR="00E31338">
        <w:rPr>
          <w:rFonts w:ascii="Times New Roman" w:hAnsi="Times New Roman"/>
          <w:b w:val="0"/>
          <w:i w:val="0"/>
          <w:sz w:val="22"/>
          <w:szCs w:val="22"/>
        </w:rPr>
        <w:t xml:space="preserve">n </w:t>
      </w:r>
      <w:r w:rsidR="00F72236" w:rsidRPr="00F61838">
        <w:rPr>
          <w:rFonts w:ascii="Times New Roman" w:hAnsi="Times New Roman"/>
          <w:b w:val="0"/>
          <w:i w:val="0"/>
          <w:sz w:val="22"/>
          <w:szCs w:val="22"/>
        </w:rPr>
        <w:t xml:space="preserve">by 2007Q1, the leverage being applied exceeds the </w:t>
      </w:r>
      <w:r w:rsidR="009F0C76" w:rsidRPr="00F61838">
        <w:rPr>
          <w:rFonts w:ascii="Times New Roman" w:hAnsi="Times New Roman"/>
          <w:b w:val="0"/>
          <w:i w:val="0"/>
          <w:sz w:val="22"/>
          <w:szCs w:val="22"/>
        </w:rPr>
        <w:t xml:space="preserve">one </w:t>
      </w:r>
      <w:r w:rsidR="00C40444">
        <w:rPr>
          <w:rFonts w:ascii="Times New Roman" w:hAnsi="Times New Roman"/>
          <w:b w:val="0"/>
          <w:i w:val="0"/>
          <w:sz w:val="22"/>
          <w:szCs w:val="22"/>
        </w:rPr>
        <w:t>used in the simulation</w:t>
      </w:r>
      <w:r w:rsidR="009F0C76" w:rsidRPr="00F61838">
        <w:rPr>
          <w:rFonts w:ascii="Times New Roman" w:hAnsi="Times New Roman"/>
          <w:b w:val="0"/>
          <w:i w:val="0"/>
          <w:sz w:val="22"/>
          <w:szCs w:val="22"/>
        </w:rPr>
        <w:t xml:space="preserve">.  </w:t>
      </w:r>
      <w:r w:rsidR="00F72236" w:rsidRPr="00F61838">
        <w:rPr>
          <w:rFonts w:ascii="Times New Roman" w:hAnsi="Times New Roman"/>
          <w:b w:val="0"/>
          <w:i w:val="0"/>
          <w:sz w:val="22"/>
          <w:szCs w:val="22"/>
        </w:rPr>
        <w:t xml:space="preserve"> </w:t>
      </w:r>
    </w:p>
    <w:p w:rsidR="00096160" w:rsidRPr="009F0C76" w:rsidRDefault="00096160" w:rsidP="00CB1CF8">
      <w:pPr>
        <w:keepNext/>
        <w:keepLines/>
        <w:spacing w:after="240" w:line="240" w:lineRule="auto"/>
        <w:jc w:val="both"/>
        <w:rPr>
          <w:b/>
          <w:noProof/>
          <w:lang w:eastAsia="en-GB"/>
        </w:rPr>
      </w:pPr>
      <w:r w:rsidRPr="009F0C76">
        <w:rPr>
          <w:rFonts w:ascii="Times New Roman" w:hAnsi="Times New Roman"/>
          <w:b/>
        </w:rPr>
        <w:t xml:space="preserve">Figure </w:t>
      </w:r>
      <w:r w:rsidR="00F61838">
        <w:rPr>
          <w:rFonts w:ascii="Times New Roman" w:hAnsi="Times New Roman"/>
          <w:b/>
        </w:rPr>
        <w:t>11.a</w:t>
      </w:r>
      <w:r w:rsidRPr="009F0C76">
        <w:rPr>
          <w:rFonts w:ascii="Times New Roman" w:hAnsi="Times New Roman"/>
          <w:b/>
        </w:rPr>
        <w:t xml:space="preserve"> Bank of America RMBS Holdings    </w:t>
      </w:r>
      <w:r w:rsidR="00F61838">
        <w:rPr>
          <w:rFonts w:ascii="Times New Roman" w:hAnsi="Times New Roman"/>
          <w:b/>
        </w:rPr>
        <w:t>Figure 11.b:</w:t>
      </w:r>
      <w:r w:rsidRPr="009F0C76">
        <w:rPr>
          <w:rFonts w:ascii="Times New Roman" w:hAnsi="Times New Roman"/>
          <w:b/>
        </w:rPr>
        <w:t xml:space="preserve">   </w:t>
      </w:r>
      <w:proofErr w:type="gramStart"/>
      <w:r w:rsidRPr="009F0C76">
        <w:rPr>
          <w:rFonts w:ascii="Times New Roman" w:hAnsi="Times New Roman"/>
          <w:b/>
        </w:rPr>
        <w:t>J.P  Morgan</w:t>
      </w:r>
      <w:proofErr w:type="gramEnd"/>
      <w:r w:rsidRPr="009F0C76">
        <w:rPr>
          <w:rFonts w:ascii="Times New Roman" w:hAnsi="Times New Roman"/>
          <w:b/>
        </w:rPr>
        <w:t xml:space="preserve"> RMBS Holdings   </w:t>
      </w:r>
      <w:r w:rsidRPr="009F0C76">
        <w:rPr>
          <w:b/>
          <w:noProof/>
          <w:lang w:eastAsia="en-GB"/>
        </w:rPr>
        <w:t xml:space="preserve"> </w:t>
      </w:r>
    </w:p>
    <w:p w:rsidR="00257D67" w:rsidRDefault="00257D67" w:rsidP="0093486A">
      <w:pPr>
        <w:keepNext/>
        <w:keepLines/>
        <w:spacing w:after="240" w:line="240" w:lineRule="auto"/>
        <w:ind w:left="-567"/>
        <w:jc w:val="both"/>
        <w:rPr>
          <w:rFonts w:ascii="Times New Roman" w:hAnsi="Times New Roman"/>
          <w:b/>
          <w:u w:val="single"/>
        </w:rPr>
      </w:pPr>
      <w:r>
        <w:rPr>
          <w:noProof/>
          <w:lang w:eastAsia="en-GB"/>
        </w:rPr>
        <w:drawing>
          <wp:inline distT="0" distB="0" distL="0" distR="0">
            <wp:extent cx="2962275" cy="28575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93486A">
        <w:rPr>
          <w:noProof/>
          <w:lang w:eastAsia="en-GB"/>
        </w:rPr>
        <w:drawing>
          <wp:inline distT="0" distB="0" distL="0" distR="0">
            <wp:extent cx="3019425" cy="2857500"/>
            <wp:effectExtent l="0" t="0" r="0" b="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468C4" w:rsidRDefault="007468C4">
      <w:pPr>
        <w:spacing w:after="0" w:line="240" w:lineRule="auto"/>
        <w:rPr>
          <w:rFonts w:ascii="Times New Roman" w:hAnsi="Times New Roman"/>
          <w:b/>
          <w:u w:val="single"/>
        </w:rPr>
      </w:pPr>
    </w:p>
    <w:p w:rsidR="00DA5012" w:rsidRDefault="00DA5012">
      <w:pPr>
        <w:spacing w:after="0" w:line="240" w:lineRule="auto"/>
        <w:rPr>
          <w:rFonts w:ascii="Times New Roman" w:hAnsi="Times New Roman"/>
          <w:b/>
          <w:u w:val="single"/>
        </w:rPr>
      </w:pPr>
    </w:p>
    <w:p w:rsidR="00DA5012" w:rsidRDefault="00DA5012">
      <w:pPr>
        <w:spacing w:after="0" w:line="240" w:lineRule="auto"/>
        <w:rPr>
          <w:rFonts w:ascii="Times New Roman" w:hAnsi="Times New Roman"/>
          <w:b/>
          <w:u w:val="single"/>
        </w:rPr>
      </w:pPr>
    </w:p>
    <w:p w:rsidR="00DA5012" w:rsidRDefault="00DA5012">
      <w:pPr>
        <w:spacing w:after="0" w:line="240" w:lineRule="auto"/>
        <w:rPr>
          <w:rFonts w:ascii="Times New Roman" w:hAnsi="Times New Roman"/>
          <w:b/>
          <w:u w:val="single"/>
        </w:rPr>
      </w:pPr>
    </w:p>
    <w:p w:rsidR="00DA5012" w:rsidRDefault="00DA5012">
      <w:pPr>
        <w:spacing w:after="0" w:line="240" w:lineRule="auto"/>
        <w:rPr>
          <w:rFonts w:ascii="Times New Roman" w:hAnsi="Times New Roman"/>
          <w:b/>
          <w:u w:val="single"/>
        </w:rPr>
      </w:pPr>
    </w:p>
    <w:p w:rsidR="00845070" w:rsidRPr="00672DD5" w:rsidRDefault="00D440B4" w:rsidP="00CB1CF8">
      <w:pPr>
        <w:keepNext/>
        <w:keepLines/>
        <w:spacing w:after="240" w:line="240" w:lineRule="auto"/>
        <w:jc w:val="both"/>
        <w:rPr>
          <w:rFonts w:ascii="Times New Roman" w:hAnsi="Times New Roman"/>
          <w:b/>
        </w:rPr>
      </w:pPr>
      <w:r w:rsidRPr="00672DD5">
        <w:rPr>
          <w:rFonts w:ascii="Times New Roman" w:hAnsi="Times New Roman"/>
          <w:b/>
        </w:rPr>
        <w:t xml:space="preserve">Table </w:t>
      </w:r>
      <w:r w:rsidR="00E148EA">
        <w:rPr>
          <w:rFonts w:ascii="Times New Roman" w:hAnsi="Times New Roman"/>
          <w:b/>
        </w:rPr>
        <w:t>2</w:t>
      </w:r>
      <w:r w:rsidRPr="00672DD5">
        <w:rPr>
          <w:rFonts w:ascii="Times New Roman" w:hAnsi="Times New Roman"/>
          <w:b/>
        </w:rPr>
        <w:t>: Breakdown of Simulated Results 2006Q1 to 2007Q3</w:t>
      </w:r>
      <w:r w:rsidR="00D92C8C" w:rsidRPr="00672DD5">
        <w:rPr>
          <w:rFonts w:ascii="Times New Roman" w:hAnsi="Times New Roman"/>
          <w:b/>
        </w:rPr>
        <w:t xml:space="preserve"> ($</w:t>
      </w:r>
      <w:proofErr w:type="spellStart"/>
      <w:r w:rsidR="00D92C8C" w:rsidRPr="00672DD5">
        <w:rPr>
          <w:rFonts w:ascii="Times New Roman" w:hAnsi="Times New Roman"/>
          <w:b/>
        </w:rPr>
        <w:t>bns</w:t>
      </w:r>
      <w:proofErr w:type="spellEnd"/>
      <w:r w:rsidR="00DF1A25" w:rsidRPr="00672DD5">
        <w:rPr>
          <w:rFonts w:ascii="Times New Roman" w:hAnsi="Times New Roman"/>
          <w:b/>
        </w:rPr>
        <w:t xml:space="preserve"> unless otherwise stated)</w:t>
      </w:r>
    </w:p>
    <w:tbl>
      <w:tblPr>
        <w:tblW w:w="10080" w:type="dxa"/>
        <w:tblInd w:w="93" w:type="dxa"/>
        <w:tblLook w:val="04A0"/>
      </w:tblPr>
      <w:tblGrid>
        <w:gridCol w:w="1323"/>
        <w:gridCol w:w="920"/>
        <w:gridCol w:w="920"/>
        <w:gridCol w:w="920"/>
        <w:gridCol w:w="920"/>
        <w:gridCol w:w="1701"/>
        <w:gridCol w:w="1701"/>
        <w:gridCol w:w="1843"/>
      </w:tblGrid>
      <w:tr w:rsidR="008E01BA" w:rsidTr="00A96C90">
        <w:trPr>
          <w:trHeight w:val="300"/>
        </w:trPr>
        <w:tc>
          <w:tcPr>
            <w:tcW w:w="1323" w:type="dxa"/>
            <w:tcBorders>
              <w:top w:val="single" w:sz="4" w:space="0" w:color="auto"/>
              <w:left w:val="single" w:sz="4" w:space="0" w:color="auto"/>
              <w:bottom w:val="single" w:sz="4" w:space="0" w:color="auto"/>
              <w:right w:val="single" w:sz="4" w:space="0" w:color="auto"/>
            </w:tcBorders>
            <w:vAlign w:val="bottom"/>
            <w:hideMark/>
          </w:tcPr>
          <w:p w:rsidR="008E01BA" w:rsidRDefault="008E01BA">
            <w:pPr>
              <w:spacing w:after="0" w:line="240" w:lineRule="auto"/>
              <w:jc w:val="both"/>
              <w:rPr>
                <w:rFonts w:ascii="Times New Roman" w:eastAsia="Times New Roman" w:hAnsi="Times New Roman"/>
                <w:color w:val="000000"/>
                <w:sz w:val="16"/>
                <w:szCs w:val="16"/>
                <w:lang w:eastAsia="en-GB"/>
              </w:rPr>
            </w:pPr>
            <w:r>
              <w:rPr>
                <w:rFonts w:ascii="Times New Roman" w:eastAsia="Times New Roman" w:hAnsi="Times New Roman"/>
                <w:color w:val="000000"/>
                <w:sz w:val="16"/>
                <w:szCs w:val="16"/>
                <w:lang w:eastAsia="en-GB"/>
              </w:rPr>
              <w:t> </w:t>
            </w:r>
          </w:p>
        </w:tc>
        <w:tc>
          <w:tcPr>
            <w:tcW w:w="840" w:type="dxa"/>
            <w:tcBorders>
              <w:top w:val="single" w:sz="4" w:space="0" w:color="auto"/>
              <w:left w:val="nil"/>
              <w:bottom w:val="single" w:sz="4" w:space="0" w:color="auto"/>
              <w:right w:val="single" w:sz="4" w:space="0" w:color="auto"/>
            </w:tcBorders>
            <w:vAlign w:val="bottom"/>
            <w:hideMark/>
          </w:tcPr>
          <w:p w:rsidR="008E01BA" w:rsidRDefault="008E01BA">
            <w:pPr>
              <w:spacing w:after="0" w:line="240" w:lineRule="auto"/>
              <w:jc w:val="center"/>
              <w:rPr>
                <w:rFonts w:ascii="Times New Roman" w:eastAsia="Times New Roman" w:hAnsi="Times New Roman"/>
                <w:color w:val="000000"/>
                <w:sz w:val="16"/>
                <w:szCs w:val="16"/>
                <w:lang w:eastAsia="en-GB"/>
              </w:rPr>
            </w:pPr>
            <w:r>
              <w:rPr>
                <w:rFonts w:ascii="Times New Roman" w:eastAsia="Times New Roman" w:hAnsi="Times New Roman"/>
                <w:color w:val="000000"/>
                <w:sz w:val="16"/>
                <w:szCs w:val="16"/>
                <w:lang w:eastAsia="en-GB"/>
              </w:rPr>
              <w:t>2006Q1</w:t>
            </w:r>
          </w:p>
        </w:tc>
        <w:tc>
          <w:tcPr>
            <w:tcW w:w="880" w:type="dxa"/>
            <w:tcBorders>
              <w:top w:val="single" w:sz="4" w:space="0" w:color="auto"/>
              <w:left w:val="nil"/>
              <w:bottom w:val="single" w:sz="4" w:space="0" w:color="auto"/>
              <w:right w:val="single" w:sz="4" w:space="0" w:color="auto"/>
            </w:tcBorders>
            <w:vAlign w:val="bottom"/>
            <w:hideMark/>
          </w:tcPr>
          <w:p w:rsidR="008E01BA" w:rsidRDefault="008E01BA">
            <w:pPr>
              <w:spacing w:after="0" w:line="240" w:lineRule="auto"/>
              <w:jc w:val="center"/>
              <w:rPr>
                <w:rFonts w:ascii="Times New Roman" w:eastAsia="Times New Roman" w:hAnsi="Times New Roman"/>
                <w:color w:val="000000"/>
                <w:sz w:val="16"/>
                <w:szCs w:val="16"/>
                <w:lang w:eastAsia="en-GB"/>
              </w:rPr>
            </w:pPr>
            <w:r>
              <w:rPr>
                <w:rFonts w:ascii="Times New Roman" w:eastAsia="Times New Roman" w:hAnsi="Times New Roman"/>
                <w:color w:val="000000"/>
                <w:sz w:val="16"/>
                <w:szCs w:val="16"/>
                <w:lang w:eastAsia="en-GB"/>
              </w:rPr>
              <w:t>2006Q2</w:t>
            </w:r>
          </w:p>
        </w:tc>
        <w:tc>
          <w:tcPr>
            <w:tcW w:w="907" w:type="dxa"/>
            <w:tcBorders>
              <w:top w:val="single" w:sz="4" w:space="0" w:color="auto"/>
              <w:left w:val="nil"/>
              <w:bottom w:val="single" w:sz="4" w:space="0" w:color="auto"/>
              <w:right w:val="single" w:sz="4" w:space="0" w:color="auto"/>
            </w:tcBorders>
            <w:vAlign w:val="bottom"/>
            <w:hideMark/>
          </w:tcPr>
          <w:p w:rsidR="008E01BA" w:rsidRDefault="008E01BA">
            <w:pPr>
              <w:spacing w:after="0" w:line="240" w:lineRule="auto"/>
              <w:jc w:val="center"/>
              <w:rPr>
                <w:rFonts w:ascii="Times New Roman" w:eastAsia="Times New Roman" w:hAnsi="Times New Roman"/>
                <w:color w:val="000000"/>
                <w:sz w:val="16"/>
                <w:szCs w:val="16"/>
                <w:lang w:eastAsia="en-GB"/>
              </w:rPr>
            </w:pPr>
            <w:r>
              <w:rPr>
                <w:rFonts w:ascii="Times New Roman" w:eastAsia="Times New Roman" w:hAnsi="Times New Roman"/>
                <w:color w:val="000000"/>
                <w:sz w:val="16"/>
                <w:szCs w:val="16"/>
                <w:lang w:eastAsia="en-GB"/>
              </w:rPr>
              <w:t>2006Q3</w:t>
            </w:r>
          </w:p>
        </w:tc>
        <w:tc>
          <w:tcPr>
            <w:tcW w:w="885" w:type="dxa"/>
            <w:tcBorders>
              <w:top w:val="single" w:sz="4" w:space="0" w:color="auto"/>
              <w:left w:val="nil"/>
              <w:bottom w:val="single" w:sz="4" w:space="0" w:color="auto"/>
              <w:right w:val="single" w:sz="4" w:space="0" w:color="auto"/>
            </w:tcBorders>
            <w:vAlign w:val="bottom"/>
            <w:hideMark/>
          </w:tcPr>
          <w:p w:rsidR="008E01BA" w:rsidRDefault="008E01BA">
            <w:pPr>
              <w:spacing w:after="0" w:line="240" w:lineRule="auto"/>
              <w:jc w:val="center"/>
              <w:rPr>
                <w:rFonts w:ascii="Times New Roman" w:eastAsia="Times New Roman" w:hAnsi="Times New Roman"/>
                <w:color w:val="000000"/>
                <w:sz w:val="16"/>
                <w:szCs w:val="16"/>
                <w:lang w:eastAsia="en-GB"/>
              </w:rPr>
            </w:pPr>
            <w:r>
              <w:rPr>
                <w:rFonts w:ascii="Times New Roman" w:eastAsia="Times New Roman" w:hAnsi="Times New Roman"/>
                <w:color w:val="000000"/>
                <w:sz w:val="16"/>
                <w:szCs w:val="16"/>
                <w:lang w:eastAsia="en-GB"/>
              </w:rPr>
              <w:t>2006Q4</w:t>
            </w:r>
          </w:p>
        </w:tc>
        <w:tc>
          <w:tcPr>
            <w:tcW w:w="1701" w:type="dxa"/>
            <w:tcBorders>
              <w:top w:val="single" w:sz="4" w:space="0" w:color="auto"/>
              <w:left w:val="nil"/>
              <w:bottom w:val="single" w:sz="4" w:space="0" w:color="auto"/>
              <w:right w:val="single" w:sz="4" w:space="0" w:color="auto"/>
            </w:tcBorders>
            <w:vAlign w:val="bottom"/>
            <w:hideMark/>
          </w:tcPr>
          <w:p w:rsidR="008E01BA" w:rsidRDefault="008E01BA">
            <w:pPr>
              <w:spacing w:after="0" w:line="240" w:lineRule="auto"/>
              <w:jc w:val="center"/>
              <w:rPr>
                <w:rFonts w:ascii="Times New Roman" w:eastAsia="Times New Roman" w:hAnsi="Times New Roman"/>
                <w:color w:val="000000"/>
                <w:sz w:val="16"/>
                <w:szCs w:val="16"/>
                <w:lang w:eastAsia="en-GB"/>
              </w:rPr>
            </w:pPr>
            <w:r>
              <w:rPr>
                <w:rFonts w:ascii="Times New Roman" w:eastAsia="Times New Roman" w:hAnsi="Times New Roman"/>
                <w:color w:val="000000"/>
                <w:sz w:val="16"/>
                <w:szCs w:val="16"/>
                <w:lang w:eastAsia="en-GB"/>
              </w:rPr>
              <w:t>2007Q1</w:t>
            </w:r>
          </w:p>
        </w:tc>
        <w:tc>
          <w:tcPr>
            <w:tcW w:w="1701" w:type="dxa"/>
            <w:tcBorders>
              <w:top w:val="single" w:sz="4" w:space="0" w:color="auto"/>
              <w:left w:val="nil"/>
              <w:bottom w:val="single" w:sz="4" w:space="0" w:color="auto"/>
              <w:right w:val="single" w:sz="4" w:space="0" w:color="auto"/>
            </w:tcBorders>
            <w:vAlign w:val="bottom"/>
            <w:hideMark/>
          </w:tcPr>
          <w:p w:rsidR="008E01BA" w:rsidRDefault="008E01BA">
            <w:pPr>
              <w:spacing w:after="0" w:line="240" w:lineRule="auto"/>
              <w:jc w:val="center"/>
              <w:rPr>
                <w:rFonts w:ascii="Times New Roman" w:eastAsia="Times New Roman" w:hAnsi="Times New Roman"/>
                <w:color w:val="000000"/>
                <w:sz w:val="16"/>
                <w:szCs w:val="16"/>
                <w:lang w:eastAsia="en-GB"/>
              </w:rPr>
            </w:pPr>
            <w:r>
              <w:rPr>
                <w:rFonts w:ascii="Times New Roman" w:eastAsia="Times New Roman" w:hAnsi="Times New Roman"/>
                <w:color w:val="000000"/>
                <w:sz w:val="16"/>
                <w:szCs w:val="16"/>
                <w:lang w:eastAsia="en-GB"/>
              </w:rPr>
              <w:t>2007Q2</w:t>
            </w:r>
          </w:p>
        </w:tc>
        <w:tc>
          <w:tcPr>
            <w:tcW w:w="1843" w:type="dxa"/>
            <w:tcBorders>
              <w:top w:val="single" w:sz="4" w:space="0" w:color="auto"/>
              <w:left w:val="nil"/>
              <w:bottom w:val="single" w:sz="4" w:space="0" w:color="auto"/>
              <w:right w:val="single" w:sz="4" w:space="0" w:color="auto"/>
            </w:tcBorders>
            <w:vAlign w:val="bottom"/>
            <w:hideMark/>
          </w:tcPr>
          <w:p w:rsidR="008E01BA" w:rsidRDefault="008E01BA">
            <w:pPr>
              <w:spacing w:after="0" w:line="240" w:lineRule="auto"/>
              <w:jc w:val="center"/>
              <w:rPr>
                <w:rFonts w:ascii="Times New Roman" w:eastAsia="Times New Roman" w:hAnsi="Times New Roman"/>
                <w:color w:val="000000"/>
                <w:sz w:val="16"/>
                <w:szCs w:val="16"/>
                <w:lang w:eastAsia="en-GB"/>
              </w:rPr>
            </w:pPr>
            <w:r>
              <w:rPr>
                <w:rFonts w:ascii="Times New Roman" w:eastAsia="Times New Roman" w:hAnsi="Times New Roman"/>
                <w:color w:val="000000"/>
                <w:sz w:val="16"/>
                <w:szCs w:val="16"/>
                <w:lang w:eastAsia="en-GB"/>
              </w:rPr>
              <w:t>2007Q3</w:t>
            </w:r>
          </w:p>
        </w:tc>
      </w:tr>
      <w:tr w:rsidR="008E01BA" w:rsidTr="00A96C90">
        <w:trPr>
          <w:trHeight w:val="465"/>
        </w:trPr>
        <w:tc>
          <w:tcPr>
            <w:tcW w:w="1323" w:type="dxa"/>
            <w:tcBorders>
              <w:top w:val="nil"/>
              <w:left w:val="single" w:sz="4" w:space="0" w:color="auto"/>
              <w:bottom w:val="single" w:sz="4" w:space="0" w:color="auto"/>
              <w:right w:val="single" w:sz="4" w:space="0" w:color="auto"/>
            </w:tcBorders>
            <w:vAlign w:val="bottom"/>
            <w:hideMark/>
          </w:tcPr>
          <w:p w:rsidR="008E01BA" w:rsidRDefault="008E01BA">
            <w:pPr>
              <w:spacing w:after="0" w:line="240" w:lineRule="auto"/>
              <w:rPr>
                <w:rFonts w:ascii="Times New Roman" w:eastAsia="Times New Roman" w:hAnsi="Times New Roman"/>
                <w:color w:val="000000"/>
                <w:sz w:val="16"/>
                <w:szCs w:val="16"/>
                <w:lang w:eastAsia="en-GB"/>
              </w:rPr>
            </w:pPr>
            <w:r w:rsidRPr="0025189F">
              <w:rPr>
                <w:rFonts w:ascii="Times New Roman" w:eastAsia="Times New Roman" w:hAnsi="Times New Roman"/>
                <w:b/>
                <w:color w:val="000000"/>
                <w:sz w:val="16"/>
                <w:szCs w:val="16"/>
                <w:lang w:eastAsia="en-GB"/>
              </w:rPr>
              <w:t>1</w:t>
            </w:r>
            <w:r>
              <w:rPr>
                <w:rFonts w:ascii="Times New Roman" w:eastAsia="Times New Roman" w:hAnsi="Times New Roman"/>
                <w:color w:val="000000"/>
                <w:sz w:val="16"/>
                <w:szCs w:val="16"/>
                <w:lang w:eastAsia="en-GB"/>
              </w:rPr>
              <w:t>.FDIC Total RMBS</w:t>
            </w:r>
          </w:p>
        </w:tc>
        <w:tc>
          <w:tcPr>
            <w:tcW w:w="840" w:type="dxa"/>
            <w:tcBorders>
              <w:top w:val="nil"/>
              <w:left w:val="nil"/>
              <w:bottom w:val="single" w:sz="4" w:space="0" w:color="auto"/>
              <w:right w:val="single" w:sz="4" w:space="0" w:color="auto"/>
            </w:tcBorders>
            <w:noWrap/>
            <w:vAlign w:val="center"/>
            <w:hideMark/>
          </w:tcPr>
          <w:p w:rsidR="008E01BA" w:rsidRDefault="008E01BA" w:rsidP="00A96C90">
            <w:pPr>
              <w:spacing w:after="0" w:line="240" w:lineRule="auto"/>
              <w:jc w:val="center"/>
              <w:rPr>
                <w:rFonts w:eastAsia="Times New Roman" w:cs="Calibri"/>
                <w:color w:val="000000"/>
                <w:sz w:val="16"/>
                <w:szCs w:val="16"/>
                <w:lang w:eastAsia="en-GB"/>
              </w:rPr>
            </w:pPr>
            <w:r>
              <w:rPr>
                <w:rFonts w:eastAsia="Times New Roman" w:cs="Calibri"/>
                <w:color w:val="000000"/>
                <w:sz w:val="16"/>
                <w:szCs w:val="16"/>
                <w:lang w:eastAsia="en-GB"/>
              </w:rPr>
              <w:t>602.335</w:t>
            </w:r>
          </w:p>
        </w:tc>
        <w:tc>
          <w:tcPr>
            <w:tcW w:w="880" w:type="dxa"/>
            <w:tcBorders>
              <w:top w:val="nil"/>
              <w:left w:val="nil"/>
              <w:bottom w:val="single" w:sz="4" w:space="0" w:color="auto"/>
              <w:right w:val="single" w:sz="4" w:space="0" w:color="auto"/>
            </w:tcBorders>
            <w:noWrap/>
            <w:vAlign w:val="center"/>
            <w:hideMark/>
          </w:tcPr>
          <w:p w:rsidR="008E01BA" w:rsidRDefault="008E01BA" w:rsidP="00A96C90">
            <w:pPr>
              <w:spacing w:after="0" w:line="240" w:lineRule="auto"/>
              <w:jc w:val="center"/>
              <w:rPr>
                <w:rFonts w:eastAsia="Times New Roman" w:cs="Calibri"/>
                <w:color w:val="000000"/>
                <w:sz w:val="16"/>
                <w:szCs w:val="16"/>
                <w:lang w:eastAsia="en-GB"/>
              </w:rPr>
            </w:pPr>
            <w:r>
              <w:rPr>
                <w:rFonts w:eastAsia="Times New Roman" w:cs="Calibri"/>
                <w:color w:val="000000"/>
                <w:sz w:val="16"/>
                <w:szCs w:val="16"/>
                <w:lang w:eastAsia="en-GB"/>
              </w:rPr>
              <w:t>635.666</w:t>
            </w:r>
          </w:p>
        </w:tc>
        <w:tc>
          <w:tcPr>
            <w:tcW w:w="907" w:type="dxa"/>
            <w:tcBorders>
              <w:top w:val="nil"/>
              <w:left w:val="nil"/>
              <w:bottom w:val="single" w:sz="4" w:space="0" w:color="auto"/>
              <w:right w:val="single" w:sz="4" w:space="0" w:color="auto"/>
            </w:tcBorders>
            <w:noWrap/>
            <w:vAlign w:val="center"/>
            <w:hideMark/>
          </w:tcPr>
          <w:p w:rsidR="008E01BA" w:rsidRDefault="008E01BA" w:rsidP="00A96C90">
            <w:pPr>
              <w:spacing w:after="0" w:line="240" w:lineRule="auto"/>
              <w:jc w:val="center"/>
              <w:rPr>
                <w:rFonts w:eastAsia="Times New Roman" w:cs="Calibri"/>
                <w:color w:val="000000"/>
                <w:sz w:val="16"/>
                <w:szCs w:val="16"/>
                <w:lang w:eastAsia="en-GB"/>
              </w:rPr>
            </w:pPr>
            <w:r>
              <w:rPr>
                <w:rFonts w:eastAsia="Times New Roman" w:cs="Calibri"/>
                <w:color w:val="000000"/>
                <w:sz w:val="16"/>
                <w:szCs w:val="16"/>
                <w:lang w:eastAsia="en-GB"/>
              </w:rPr>
              <w:t>628.525</w:t>
            </w:r>
          </w:p>
        </w:tc>
        <w:tc>
          <w:tcPr>
            <w:tcW w:w="885" w:type="dxa"/>
            <w:tcBorders>
              <w:top w:val="nil"/>
              <w:left w:val="nil"/>
              <w:bottom w:val="single" w:sz="4" w:space="0" w:color="auto"/>
              <w:right w:val="single" w:sz="4" w:space="0" w:color="auto"/>
            </w:tcBorders>
            <w:noWrap/>
            <w:vAlign w:val="center"/>
            <w:hideMark/>
          </w:tcPr>
          <w:p w:rsidR="008E01BA" w:rsidRDefault="008E01BA" w:rsidP="00A96C90">
            <w:pPr>
              <w:spacing w:after="0" w:line="240" w:lineRule="auto"/>
              <w:jc w:val="center"/>
              <w:rPr>
                <w:rFonts w:eastAsia="Times New Roman" w:cs="Calibri"/>
                <w:color w:val="000000"/>
                <w:sz w:val="16"/>
                <w:szCs w:val="16"/>
                <w:lang w:eastAsia="en-GB"/>
              </w:rPr>
            </w:pPr>
            <w:r>
              <w:rPr>
                <w:rFonts w:eastAsia="Times New Roman" w:cs="Calibri"/>
                <w:color w:val="000000"/>
                <w:sz w:val="16"/>
                <w:szCs w:val="16"/>
                <w:lang w:eastAsia="en-GB"/>
              </w:rPr>
              <w:t>705.147</w:t>
            </w:r>
          </w:p>
        </w:tc>
        <w:tc>
          <w:tcPr>
            <w:tcW w:w="1701" w:type="dxa"/>
            <w:tcBorders>
              <w:top w:val="nil"/>
              <w:left w:val="nil"/>
              <w:bottom w:val="single" w:sz="4" w:space="0" w:color="auto"/>
              <w:right w:val="single" w:sz="4" w:space="0" w:color="auto"/>
            </w:tcBorders>
            <w:noWrap/>
            <w:vAlign w:val="center"/>
            <w:hideMark/>
          </w:tcPr>
          <w:p w:rsidR="008E01BA" w:rsidRDefault="008E01BA" w:rsidP="00A96C90">
            <w:pPr>
              <w:spacing w:after="0" w:line="240" w:lineRule="auto"/>
              <w:jc w:val="center"/>
              <w:rPr>
                <w:rFonts w:eastAsia="Times New Roman" w:cs="Calibri"/>
                <w:color w:val="000000"/>
                <w:sz w:val="16"/>
                <w:szCs w:val="16"/>
                <w:lang w:eastAsia="en-GB"/>
              </w:rPr>
            </w:pPr>
            <w:r>
              <w:rPr>
                <w:rFonts w:eastAsia="Times New Roman" w:cs="Calibri"/>
                <w:color w:val="000000"/>
                <w:sz w:val="16"/>
                <w:szCs w:val="16"/>
                <w:lang w:eastAsia="en-GB"/>
              </w:rPr>
              <w:t>719.629</w:t>
            </w:r>
          </w:p>
        </w:tc>
        <w:tc>
          <w:tcPr>
            <w:tcW w:w="1701" w:type="dxa"/>
            <w:tcBorders>
              <w:top w:val="nil"/>
              <w:left w:val="nil"/>
              <w:bottom w:val="single" w:sz="4" w:space="0" w:color="auto"/>
              <w:right w:val="single" w:sz="4" w:space="0" w:color="auto"/>
            </w:tcBorders>
            <w:noWrap/>
            <w:vAlign w:val="center"/>
            <w:hideMark/>
          </w:tcPr>
          <w:p w:rsidR="008E01BA" w:rsidRDefault="008E01BA" w:rsidP="00A96C90">
            <w:pPr>
              <w:spacing w:after="0" w:line="240" w:lineRule="auto"/>
              <w:jc w:val="center"/>
              <w:rPr>
                <w:rFonts w:eastAsia="Times New Roman" w:cs="Calibri"/>
                <w:color w:val="000000"/>
                <w:sz w:val="16"/>
                <w:szCs w:val="16"/>
                <w:lang w:eastAsia="en-GB"/>
              </w:rPr>
            </w:pPr>
            <w:r>
              <w:rPr>
                <w:rFonts w:eastAsia="Times New Roman" w:cs="Calibri"/>
                <w:color w:val="000000"/>
                <w:sz w:val="16"/>
                <w:szCs w:val="16"/>
                <w:lang w:eastAsia="en-GB"/>
              </w:rPr>
              <w:t>709.676</w:t>
            </w:r>
          </w:p>
        </w:tc>
        <w:tc>
          <w:tcPr>
            <w:tcW w:w="1843" w:type="dxa"/>
            <w:tcBorders>
              <w:top w:val="nil"/>
              <w:left w:val="nil"/>
              <w:bottom w:val="single" w:sz="4" w:space="0" w:color="auto"/>
              <w:right w:val="single" w:sz="4" w:space="0" w:color="auto"/>
            </w:tcBorders>
            <w:noWrap/>
            <w:vAlign w:val="center"/>
            <w:hideMark/>
          </w:tcPr>
          <w:p w:rsidR="008E01BA" w:rsidRDefault="008E01BA" w:rsidP="00A96C90">
            <w:pPr>
              <w:spacing w:after="0" w:line="240" w:lineRule="auto"/>
              <w:jc w:val="center"/>
              <w:rPr>
                <w:rFonts w:eastAsia="Times New Roman" w:cs="Calibri"/>
                <w:color w:val="000000"/>
                <w:sz w:val="16"/>
                <w:szCs w:val="16"/>
                <w:lang w:eastAsia="en-GB"/>
              </w:rPr>
            </w:pPr>
            <w:r>
              <w:rPr>
                <w:rFonts w:eastAsia="Times New Roman" w:cs="Calibri"/>
                <w:color w:val="000000"/>
                <w:sz w:val="16"/>
                <w:szCs w:val="16"/>
                <w:lang w:eastAsia="en-GB"/>
              </w:rPr>
              <w:t>692.162</w:t>
            </w:r>
          </w:p>
        </w:tc>
      </w:tr>
      <w:tr w:rsidR="002E67DE" w:rsidTr="00A96C90">
        <w:trPr>
          <w:trHeight w:val="915"/>
        </w:trPr>
        <w:tc>
          <w:tcPr>
            <w:tcW w:w="1323" w:type="dxa"/>
            <w:tcBorders>
              <w:top w:val="nil"/>
              <w:left w:val="single" w:sz="4" w:space="0" w:color="auto"/>
              <w:bottom w:val="single" w:sz="4" w:space="0" w:color="auto"/>
              <w:right w:val="single" w:sz="4" w:space="0" w:color="auto"/>
            </w:tcBorders>
            <w:vAlign w:val="bottom"/>
            <w:hideMark/>
          </w:tcPr>
          <w:p w:rsidR="002E67DE" w:rsidRDefault="002E67DE" w:rsidP="00230B60">
            <w:pPr>
              <w:spacing w:after="0" w:line="240" w:lineRule="auto"/>
              <w:rPr>
                <w:rFonts w:ascii="Times New Roman" w:eastAsia="Times New Roman" w:hAnsi="Times New Roman"/>
                <w:color w:val="000000"/>
                <w:sz w:val="16"/>
                <w:szCs w:val="16"/>
                <w:lang w:eastAsia="en-GB"/>
              </w:rPr>
            </w:pPr>
            <w:r>
              <w:rPr>
                <w:rFonts w:ascii="Times New Roman" w:eastAsia="Times New Roman" w:hAnsi="Times New Roman"/>
                <w:b/>
                <w:bCs/>
                <w:color w:val="000000"/>
                <w:sz w:val="16"/>
                <w:szCs w:val="16"/>
                <w:lang w:eastAsia="en-GB"/>
              </w:rPr>
              <w:t>2.</w:t>
            </w:r>
            <w:r>
              <w:rPr>
                <w:rFonts w:ascii="Times New Roman" w:eastAsia="Times New Roman" w:hAnsi="Times New Roman"/>
                <w:color w:val="000000"/>
                <w:sz w:val="16"/>
                <w:szCs w:val="16"/>
                <w:lang w:eastAsia="en-GB"/>
              </w:rPr>
              <w:t>SimulatedTotal RMBS Bank Assets</w:t>
            </w:r>
          </w:p>
          <w:p w:rsidR="002E67DE" w:rsidRDefault="002E67DE" w:rsidP="00230B60">
            <w:pPr>
              <w:spacing w:after="0" w:line="240" w:lineRule="auto"/>
              <w:rPr>
                <w:rFonts w:ascii="Times New Roman" w:eastAsia="Times New Roman" w:hAnsi="Times New Roman"/>
                <w:color w:val="000000"/>
                <w:sz w:val="16"/>
                <w:szCs w:val="16"/>
                <w:lang w:eastAsia="en-GB"/>
              </w:rPr>
            </w:pPr>
            <w:r>
              <w:rPr>
                <w:rFonts w:ascii="Times New Roman" w:eastAsia="Times New Roman" w:hAnsi="Times New Roman"/>
                <w:color w:val="000000"/>
                <w:sz w:val="16"/>
                <w:szCs w:val="16"/>
                <w:lang w:eastAsia="en-GB"/>
              </w:rPr>
              <w:t>Unleveraged</w:t>
            </w:r>
          </w:p>
          <w:p w:rsidR="002E67DE" w:rsidRDefault="002E67DE" w:rsidP="00230B60">
            <w:pPr>
              <w:spacing w:after="0" w:line="240" w:lineRule="auto"/>
              <w:rPr>
                <w:rFonts w:ascii="Times New Roman" w:eastAsia="Times New Roman" w:hAnsi="Times New Roman"/>
                <w:b/>
                <w:bCs/>
                <w:color w:val="000000"/>
                <w:sz w:val="16"/>
                <w:szCs w:val="16"/>
                <w:lang w:eastAsia="en-GB"/>
              </w:rPr>
            </w:pPr>
            <w:r>
              <w:rPr>
                <w:rFonts w:ascii="Times New Roman" w:eastAsia="Times New Roman" w:hAnsi="Times New Roman"/>
                <w:color w:val="000000"/>
                <w:sz w:val="16"/>
                <w:szCs w:val="16"/>
                <w:lang w:eastAsia="en-GB"/>
              </w:rPr>
              <w:t>Leveraged (#)</w:t>
            </w:r>
          </w:p>
        </w:tc>
        <w:tc>
          <w:tcPr>
            <w:tcW w:w="840" w:type="dxa"/>
            <w:tcBorders>
              <w:top w:val="nil"/>
              <w:left w:val="nil"/>
              <w:bottom w:val="single" w:sz="4" w:space="0" w:color="auto"/>
              <w:right w:val="single" w:sz="4" w:space="0" w:color="auto"/>
            </w:tcBorders>
            <w:vAlign w:val="center"/>
            <w:hideMark/>
          </w:tcPr>
          <w:p w:rsidR="002E67DE" w:rsidRDefault="002E67DE" w:rsidP="00A96C90">
            <w:pPr>
              <w:spacing w:after="0" w:line="240" w:lineRule="auto"/>
              <w:jc w:val="center"/>
              <w:rPr>
                <w:rFonts w:ascii="Times New Roman" w:eastAsia="Times New Roman" w:hAnsi="Times New Roman"/>
                <w:color w:val="000000"/>
                <w:sz w:val="16"/>
                <w:szCs w:val="16"/>
                <w:lang w:eastAsia="en-GB"/>
              </w:rPr>
            </w:pPr>
            <w:r>
              <w:rPr>
                <w:rFonts w:ascii="Times New Roman" w:eastAsia="Times New Roman" w:hAnsi="Times New Roman"/>
                <w:color w:val="000000"/>
                <w:sz w:val="16"/>
                <w:szCs w:val="16"/>
                <w:lang w:eastAsia="en-GB"/>
              </w:rPr>
              <w:t>602.335</w:t>
            </w:r>
          </w:p>
          <w:p w:rsidR="002E67DE" w:rsidRDefault="0025189F" w:rsidP="00A96C90">
            <w:pPr>
              <w:spacing w:after="0" w:line="240" w:lineRule="auto"/>
              <w:jc w:val="center"/>
              <w:rPr>
                <w:rFonts w:ascii="Times New Roman" w:eastAsia="Times New Roman" w:hAnsi="Times New Roman"/>
                <w:color w:val="000000"/>
                <w:sz w:val="16"/>
                <w:szCs w:val="16"/>
                <w:lang w:eastAsia="en-GB"/>
              </w:rPr>
            </w:pPr>
            <w:r>
              <w:rPr>
                <w:rFonts w:eastAsia="Times New Roman" w:cs="Calibri"/>
                <w:color w:val="000000"/>
                <w:sz w:val="16"/>
                <w:szCs w:val="16"/>
                <w:lang w:eastAsia="en-GB"/>
              </w:rPr>
              <w:t>602.335</w:t>
            </w:r>
            <w:r w:rsidR="00813E95">
              <w:rPr>
                <w:rFonts w:eastAsia="Times New Roman" w:cs="Calibri"/>
                <w:color w:val="000000"/>
                <w:sz w:val="16"/>
                <w:szCs w:val="16"/>
                <w:lang w:eastAsia="en-GB"/>
              </w:rPr>
              <w:t>(#)</w:t>
            </w:r>
          </w:p>
        </w:tc>
        <w:tc>
          <w:tcPr>
            <w:tcW w:w="880" w:type="dxa"/>
            <w:tcBorders>
              <w:top w:val="nil"/>
              <w:left w:val="nil"/>
              <w:bottom w:val="single" w:sz="4" w:space="0" w:color="auto"/>
              <w:right w:val="single" w:sz="4" w:space="0" w:color="auto"/>
            </w:tcBorders>
            <w:vAlign w:val="center"/>
            <w:hideMark/>
          </w:tcPr>
          <w:p w:rsidR="002E67DE" w:rsidRDefault="002E67DE" w:rsidP="00A96C90">
            <w:pPr>
              <w:spacing w:after="0" w:line="240" w:lineRule="auto"/>
              <w:jc w:val="center"/>
              <w:rPr>
                <w:rFonts w:ascii="Times New Roman" w:eastAsia="Times New Roman" w:hAnsi="Times New Roman"/>
                <w:color w:val="000000"/>
                <w:sz w:val="16"/>
                <w:szCs w:val="16"/>
                <w:lang w:eastAsia="en-GB"/>
              </w:rPr>
            </w:pPr>
            <w:r>
              <w:rPr>
                <w:rFonts w:ascii="Times New Roman" w:eastAsia="Times New Roman" w:hAnsi="Times New Roman"/>
                <w:color w:val="000000"/>
                <w:sz w:val="16"/>
                <w:szCs w:val="16"/>
                <w:lang w:eastAsia="en-GB"/>
              </w:rPr>
              <w:t>622.57</w:t>
            </w:r>
            <w:r w:rsidR="0025189F">
              <w:rPr>
                <w:rFonts w:ascii="Times New Roman" w:eastAsia="Times New Roman" w:hAnsi="Times New Roman"/>
                <w:color w:val="000000"/>
                <w:sz w:val="16"/>
                <w:szCs w:val="16"/>
                <w:lang w:eastAsia="en-GB"/>
              </w:rPr>
              <w:t>4</w:t>
            </w:r>
          </w:p>
          <w:p w:rsidR="002E67DE" w:rsidRDefault="0025189F" w:rsidP="00A96C90">
            <w:pPr>
              <w:spacing w:after="0" w:line="240" w:lineRule="auto"/>
              <w:jc w:val="center"/>
              <w:rPr>
                <w:rFonts w:ascii="Times New Roman" w:eastAsia="Times New Roman" w:hAnsi="Times New Roman"/>
                <w:color w:val="000000"/>
                <w:sz w:val="16"/>
                <w:szCs w:val="16"/>
                <w:lang w:eastAsia="en-GB"/>
              </w:rPr>
            </w:pPr>
            <w:r>
              <w:rPr>
                <w:rFonts w:eastAsia="Times New Roman" w:cs="Calibri"/>
                <w:color w:val="000000"/>
                <w:sz w:val="16"/>
                <w:szCs w:val="16"/>
                <w:lang w:eastAsia="en-GB"/>
              </w:rPr>
              <w:t>622.574</w:t>
            </w:r>
            <w:r w:rsidR="00813E95">
              <w:rPr>
                <w:rFonts w:eastAsia="Times New Roman" w:cs="Calibri"/>
                <w:color w:val="000000"/>
                <w:sz w:val="16"/>
                <w:szCs w:val="16"/>
                <w:lang w:eastAsia="en-GB"/>
              </w:rPr>
              <w:t>(#)</w:t>
            </w:r>
          </w:p>
        </w:tc>
        <w:tc>
          <w:tcPr>
            <w:tcW w:w="907" w:type="dxa"/>
            <w:tcBorders>
              <w:top w:val="nil"/>
              <w:left w:val="nil"/>
              <w:bottom w:val="single" w:sz="4" w:space="0" w:color="auto"/>
              <w:right w:val="single" w:sz="4" w:space="0" w:color="auto"/>
            </w:tcBorders>
            <w:vAlign w:val="center"/>
            <w:hideMark/>
          </w:tcPr>
          <w:p w:rsidR="002E67DE" w:rsidRDefault="002E67DE" w:rsidP="00A96C90">
            <w:pPr>
              <w:spacing w:after="0" w:line="240" w:lineRule="auto"/>
              <w:jc w:val="center"/>
              <w:rPr>
                <w:rFonts w:ascii="Times New Roman" w:eastAsia="Times New Roman" w:hAnsi="Times New Roman"/>
                <w:color w:val="000000"/>
                <w:sz w:val="16"/>
                <w:szCs w:val="16"/>
                <w:lang w:eastAsia="en-GB"/>
              </w:rPr>
            </w:pPr>
            <w:r>
              <w:rPr>
                <w:rFonts w:ascii="Times New Roman" w:eastAsia="Times New Roman" w:hAnsi="Times New Roman"/>
                <w:color w:val="000000"/>
                <w:sz w:val="16"/>
                <w:szCs w:val="16"/>
                <w:lang w:eastAsia="en-GB"/>
              </w:rPr>
              <w:t>631.56</w:t>
            </w:r>
            <w:r w:rsidR="0025189F">
              <w:rPr>
                <w:rFonts w:ascii="Times New Roman" w:eastAsia="Times New Roman" w:hAnsi="Times New Roman"/>
                <w:color w:val="000000"/>
                <w:sz w:val="16"/>
                <w:szCs w:val="16"/>
                <w:lang w:eastAsia="en-GB"/>
              </w:rPr>
              <w:t>6</w:t>
            </w:r>
          </w:p>
          <w:p w:rsidR="002E67DE" w:rsidRDefault="0025189F" w:rsidP="00A96C90">
            <w:pPr>
              <w:spacing w:after="0" w:line="240" w:lineRule="auto"/>
              <w:jc w:val="center"/>
              <w:rPr>
                <w:rFonts w:ascii="Times New Roman" w:eastAsia="Times New Roman" w:hAnsi="Times New Roman"/>
                <w:color w:val="000000"/>
                <w:sz w:val="16"/>
                <w:szCs w:val="16"/>
                <w:lang w:eastAsia="en-GB"/>
              </w:rPr>
            </w:pPr>
            <w:r>
              <w:rPr>
                <w:rFonts w:eastAsia="Times New Roman" w:cs="Calibri"/>
                <w:color w:val="000000"/>
                <w:sz w:val="16"/>
                <w:szCs w:val="16"/>
                <w:lang w:eastAsia="en-GB"/>
              </w:rPr>
              <w:t>631.845</w:t>
            </w:r>
            <w:r w:rsidR="00813E95">
              <w:rPr>
                <w:rFonts w:eastAsia="Times New Roman" w:cs="Calibri"/>
                <w:color w:val="000000"/>
                <w:sz w:val="16"/>
                <w:szCs w:val="16"/>
                <w:lang w:eastAsia="en-GB"/>
              </w:rPr>
              <w:t>(#)</w:t>
            </w:r>
          </w:p>
        </w:tc>
        <w:tc>
          <w:tcPr>
            <w:tcW w:w="885" w:type="dxa"/>
            <w:tcBorders>
              <w:top w:val="nil"/>
              <w:left w:val="nil"/>
              <w:bottom w:val="single" w:sz="4" w:space="0" w:color="auto"/>
              <w:right w:val="single" w:sz="4" w:space="0" w:color="auto"/>
            </w:tcBorders>
            <w:vAlign w:val="center"/>
            <w:hideMark/>
          </w:tcPr>
          <w:p w:rsidR="002E67DE" w:rsidRDefault="0025189F" w:rsidP="00A96C90">
            <w:pPr>
              <w:spacing w:after="0" w:line="240" w:lineRule="auto"/>
              <w:jc w:val="center"/>
              <w:rPr>
                <w:rFonts w:ascii="Times New Roman" w:eastAsia="Times New Roman" w:hAnsi="Times New Roman"/>
                <w:color w:val="000000"/>
                <w:sz w:val="16"/>
                <w:szCs w:val="16"/>
                <w:lang w:eastAsia="en-GB"/>
              </w:rPr>
            </w:pPr>
            <w:r>
              <w:rPr>
                <w:rFonts w:ascii="Times New Roman" w:eastAsia="Times New Roman" w:hAnsi="Times New Roman"/>
                <w:color w:val="000000"/>
                <w:sz w:val="16"/>
                <w:szCs w:val="16"/>
                <w:lang w:eastAsia="en-GB"/>
              </w:rPr>
              <w:t>631.595</w:t>
            </w:r>
          </w:p>
          <w:p w:rsidR="002E67DE" w:rsidRDefault="0025189F" w:rsidP="00A96C90">
            <w:pPr>
              <w:spacing w:after="0" w:line="240" w:lineRule="auto"/>
              <w:jc w:val="center"/>
              <w:rPr>
                <w:rFonts w:ascii="Times New Roman" w:eastAsia="Times New Roman" w:hAnsi="Times New Roman"/>
                <w:color w:val="000000"/>
                <w:sz w:val="16"/>
                <w:szCs w:val="16"/>
                <w:lang w:eastAsia="en-GB"/>
              </w:rPr>
            </w:pPr>
            <w:r>
              <w:rPr>
                <w:rFonts w:eastAsia="Times New Roman" w:cs="Calibri"/>
                <w:color w:val="000000"/>
                <w:sz w:val="16"/>
                <w:szCs w:val="16"/>
                <w:lang w:eastAsia="en-GB"/>
              </w:rPr>
              <w:t>728.136</w:t>
            </w:r>
            <w:r w:rsidR="00813E95">
              <w:rPr>
                <w:rFonts w:eastAsia="Times New Roman" w:cs="Calibri"/>
                <w:color w:val="000000"/>
                <w:sz w:val="16"/>
                <w:szCs w:val="16"/>
                <w:lang w:eastAsia="en-GB"/>
              </w:rPr>
              <w:t>(#)</w:t>
            </w:r>
          </w:p>
        </w:tc>
        <w:tc>
          <w:tcPr>
            <w:tcW w:w="1701" w:type="dxa"/>
            <w:tcBorders>
              <w:top w:val="nil"/>
              <w:left w:val="nil"/>
              <w:bottom w:val="single" w:sz="4" w:space="0" w:color="auto"/>
              <w:right w:val="single" w:sz="4" w:space="0" w:color="auto"/>
            </w:tcBorders>
            <w:vAlign w:val="center"/>
            <w:hideMark/>
          </w:tcPr>
          <w:p w:rsidR="002E67DE" w:rsidRDefault="0025189F" w:rsidP="00A96C90">
            <w:pPr>
              <w:spacing w:after="0" w:line="240" w:lineRule="auto"/>
              <w:jc w:val="center"/>
              <w:rPr>
                <w:rFonts w:ascii="Times New Roman" w:eastAsia="Times New Roman" w:hAnsi="Times New Roman"/>
                <w:color w:val="000000"/>
                <w:sz w:val="16"/>
                <w:szCs w:val="16"/>
                <w:lang w:eastAsia="en-GB"/>
              </w:rPr>
            </w:pPr>
            <w:r>
              <w:rPr>
                <w:rFonts w:ascii="Times New Roman" w:eastAsia="Times New Roman" w:hAnsi="Times New Roman"/>
                <w:color w:val="000000"/>
                <w:sz w:val="16"/>
                <w:szCs w:val="16"/>
                <w:lang w:eastAsia="en-GB"/>
              </w:rPr>
              <w:t>631.596</w:t>
            </w:r>
          </w:p>
          <w:p w:rsidR="002E67DE" w:rsidRDefault="0025189F" w:rsidP="00A96C90">
            <w:pPr>
              <w:spacing w:after="0" w:line="240" w:lineRule="auto"/>
              <w:jc w:val="center"/>
              <w:rPr>
                <w:rFonts w:ascii="Times New Roman" w:eastAsia="Times New Roman" w:hAnsi="Times New Roman"/>
                <w:color w:val="000000"/>
                <w:sz w:val="16"/>
                <w:szCs w:val="16"/>
                <w:lang w:eastAsia="en-GB"/>
              </w:rPr>
            </w:pPr>
            <w:r>
              <w:rPr>
                <w:rFonts w:eastAsia="Times New Roman" w:cs="Calibri"/>
                <w:color w:val="000000"/>
                <w:sz w:val="16"/>
                <w:szCs w:val="16"/>
                <w:lang w:eastAsia="en-GB"/>
              </w:rPr>
              <w:t>745.487</w:t>
            </w:r>
            <w:r w:rsidR="00813E95">
              <w:rPr>
                <w:rFonts w:eastAsia="Times New Roman" w:cs="Calibri"/>
                <w:color w:val="000000"/>
                <w:sz w:val="16"/>
                <w:szCs w:val="16"/>
                <w:lang w:eastAsia="en-GB"/>
              </w:rPr>
              <w:t>(#)</w:t>
            </w:r>
          </w:p>
        </w:tc>
        <w:tc>
          <w:tcPr>
            <w:tcW w:w="1701" w:type="dxa"/>
            <w:tcBorders>
              <w:top w:val="nil"/>
              <w:left w:val="nil"/>
              <w:bottom w:val="single" w:sz="4" w:space="0" w:color="auto"/>
              <w:right w:val="single" w:sz="4" w:space="0" w:color="auto"/>
            </w:tcBorders>
            <w:vAlign w:val="center"/>
            <w:hideMark/>
          </w:tcPr>
          <w:p w:rsidR="002E67DE" w:rsidRDefault="005636AB" w:rsidP="00A96C90">
            <w:pPr>
              <w:spacing w:after="0" w:line="240" w:lineRule="auto"/>
              <w:jc w:val="center"/>
              <w:rPr>
                <w:rFonts w:ascii="Times New Roman" w:eastAsia="Times New Roman" w:hAnsi="Times New Roman"/>
                <w:color w:val="000000"/>
                <w:sz w:val="16"/>
                <w:szCs w:val="16"/>
                <w:lang w:eastAsia="en-GB"/>
              </w:rPr>
            </w:pPr>
            <w:r>
              <w:rPr>
                <w:rFonts w:ascii="Times New Roman" w:eastAsia="Times New Roman" w:hAnsi="Times New Roman"/>
                <w:color w:val="000000"/>
                <w:sz w:val="16"/>
                <w:szCs w:val="16"/>
                <w:lang w:eastAsia="en-GB"/>
              </w:rPr>
              <w:t>631.596</w:t>
            </w:r>
          </w:p>
          <w:p w:rsidR="002E67DE" w:rsidRDefault="0025189F" w:rsidP="00A96C90">
            <w:pPr>
              <w:spacing w:after="0" w:line="240" w:lineRule="auto"/>
              <w:jc w:val="center"/>
              <w:rPr>
                <w:rFonts w:ascii="Times New Roman" w:eastAsia="Times New Roman" w:hAnsi="Times New Roman"/>
                <w:color w:val="000000"/>
                <w:sz w:val="16"/>
                <w:szCs w:val="16"/>
                <w:lang w:eastAsia="en-GB"/>
              </w:rPr>
            </w:pPr>
            <w:r>
              <w:rPr>
                <w:rFonts w:eastAsia="Times New Roman" w:cs="Calibri"/>
                <w:color w:val="000000"/>
                <w:sz w:val="16"/>
                <w:szCs w:val="16"/>
                <w:lang w:eastAsia="en-GB"/>
              </w:rPr>
              <w:t>724.45</w:t>
            </w:r>
            <w:r w:rsidR="005636AB">
              <w:rPr>
                <w:rFonts w:eastAsia="Times New Roman" w:cs="Calibri"/>
                <w:color w:val="000000"/>
                <w:sz w:val="16"/>
                <w:szCs w:val="16"/>
                <w:lang w:eastAsia="en-GB"/>
              </w:rPr>
              <w:t>2</w:t>
            </w:r>
            <w:r w:rsidR="00813E95">
              <w:rPr>
                <w:rFonts w:eastAsia="Times New Roman" w:cs="Calibri"/>
                <w:color w:val="000000"/>
                <w:sz w:val="16"/>
                <w:szCs w:val="16"/>
                <w:lang w:eastAsia="en-GB"/>
              </w:rPr>
              <w:t>(#)</w:t>
            </w:r>
          </w:p>
        </w:tc>
        <w:tc>
          <w:tcPr>
            <w:tcW w:w="1843" w:type="dxa"/>
            <w:tcBorders>
              <w:top w:val="nil"/>
              <w:left w:val="nil"/>
              <w:bottom w:val="single" w:sz="4" w:space="0" w:color="auto"/>
              <w:right w:val="single" w:sz="4" w:space="0" w:color="auto"/>
            </w:tcBorders>
            <w:vAlign w:val="center"/>
            <w:hideMark/>
          </w:tcPr>
          <w:p w:rsidR="002E67DE" w:rsidRDefault="002E67DE" w:rsidP="00A96C90">
            <w:pPr>
              <w:spacing w:after="0" w:line="240" w:lineRule="auto"/>
              <w:jc w:val="center"/>
              <w:rPr>
                <w:rFonts w:ascii="Times New Roman" w:eastAsia="Times New Roman" w:hAnsi="Times New Roman"/>
                <w:color w:val="000000"/>
                <w:sz w:val="16"/>
                <w:szCs w:val="16"/>
                <w:lang w:eastAsia="en-GB"/>
              </w:rPr>
            </w:pPr>
            <w:r>
              <w:rPr>
                <w:rFonts w:ascii="Times New Roman" w:eastAsia="Times New Roman" w:hAnsi="Times New Roman"/>
                <w:color w:val="000000"/>
                <w:sz w:val="16"/>
                <w:szCs w:val="16"/>
                <w:lang w:eastAsia="en-GB"/>
              </w:rPr>
              <w:t>631.59</w:t>
            </w:r>
            <w:r w:rsidR="005636AB">
              <w:rPr>
                <w:rFonts w:ascii="Times New Roman" w:eastAsia="Times New Roman" w:hAnsi="Times New Roman"/>
                <w:color w:val="000000"/>
                <w:sz w:val="16"/>
                <w:szCs w:val="16"/>
                <w:lang w:eastAsia="en-GB"/>
              </w:rPr>
              <w:t>6</w:t>
            </w:r>
          </w:p>
          <w:p w:rsidR="002E67DE" w:rsidRDefault="0025189F" w:rsidP="00A96C90">
            <w:pPr>
              <w:spacing w:after="0" w:line="240" w:lineRule="auto"/>
              <w:jc w:val="center"/>
              <w:rPr>
                <w:rFonts w:ascii="Times New Roman" w:eastAsia="Times New Roman" w:hAnsi="Times New Roman"/>
                <w:color w:val="000000"/>
                <w:sz w:val="16"/>
                <w:szCs w:val="16"/>
                <w:lang w:eastAsia="en-GB"/>
              </w:rPr>
            </w:pPr>
            <w:r>
              <w:rPr>
                <w:rFonts w:eastAsia="Times New Roman" w:cs="Calibri"/>
                <w:color w:val="000000"/>
                <w:sz w:val="16"/>
                <w:szCs w:val="16"/>
                <w:lang w:eastAsia="en-GB"/>
              </w:rPr>
              <w:t>680.573</w:t>
            </w:r>
            <w:r w:rsidR="00813E95">
              <w:rPr>
                <w:rFonts w:eastAsia="Times New Roman" w:cs="Calibri"/>
                <w:color w:val="000000"/>
                <w:sz w:val="16"/>
                <w:szCs w:val="16"/>
                <w:lang w:eastAsia="en-GB"/>
              </w:rPr>
              <w:t>(#)</w:t>
            </w:r>
          </w:p>
        </w:tc>
      </w:tr>
      <w:tr w:rsidR="002E67DE" w:rsidTr="00A96C90">
        <w:trPr>
          <w:trHeight w:val="300"/>
        </w:trPr>
        <w:tc>
          <w:tcPr>
            <w:tcW w:w="1323" w:type="dxa"/>
            <w:vMerge w:val="restart"/>
            <w:tcBorders>
              <w:top w:val="nil"/>
              <w:left w:val="single" w:sz="4" w:space="0" w:color="auto"/>
              <w:bottom w:val="single" w:sz="4" w:space="0" w:color="000000"/>
              <w:right w:val="single" w:sz="4" w:space="0" w:color="auto"/>
            </w:tcBorders>
            <w:vAlign w:val="center"/>
            <w:hideMark/>
          </w:tcPr>
          <w:p w:rsidR="002E67DE" w:rsidRDefault="00DC708F">
            <w:pPr>
              <w:spacing w:after="0" w:line="240" w:lineRule="auto"/>
              <w:rPr>
                <w:rFonts w:ascii="Times New Roman" w:eastAsia="Times New Roman" w:hAnsi="Times New Roman"/>
                <w:b/>
                <w:bCs/>
                <w:color w:val="000000"/>
                <w:sz w:val="16"/>
                <w:szCs w:val="16"/>
                <w:lang w:eastAsia="en-GB"/>
              </w:rPr>
            </w:pPr>
            <w:r>
              <w:rPr>
                <w:rFonts w:ascii="Times New Roman" w:eastAsia="Times New Roman" w:hAnsi="Times New Roman"/>
                <w:b/>
                <w:bCs/>
                <w:color w:val="000000"/>
                <w:sz w:val="16"/>
                <w:szCs w:val="16"/>
                <w:lang w:eastAsia="en-GB"/>
              </w:rPr>
              <w:t>3</w:t>
            </w:r>
            <w:r w:rsidR="002E67DE">
              <w:rPr>
                <w:rFonts w:ascii="Times New Roman" w:eastAsia="Times New Roman" w:hAnsi="Times New Roman"/>
                <w:b/>
                <w:bCs/>
                <w:color w:val="000000"/>
                <w:sz w:val="16"/>
                <w:szCs w:val="16"/>
                <w:lang w:eastAsia="en-GB"/>
              </w:rPr>
              <w:t>.</w:t>
            </w:r>
            <w:r w:rsidR="002E67DE">
              <w:rPr>
                <w:rFonts w:ascii="Times New Roman" w:eastAsia="Times New Roman" w:hAnsi="Times New Roman"/>
                <w:color w:val="000000"/>
                <w:sz w:val="16"/>
                <w:szCs w:val="16"/>
                <w:lang w:eastAsia="en-GB"/>
              </w:rPr>
              <w:t>Price Revaluation  RMBS Leveraged case only</w:t>
            </w:r>
          </w:p>
        </w:tc>
        <w:tc>
          <w:tcPr>
            <w:tcW w:w="840" w:type="dxa"/>
            <w:vMerge w:val="restart"/>
            <w:tcBorders>
              <w:top w:val="nil"/>
              <w:left w:val="single" w:sz="4" w:space="0" w:color="auto"/>
              <w:bottom w:val="single" w:sz="4" w:space="0" w:color="000000"/>
              <w:right w:val="single" w:sz="4" w:space="0" w:color="auto"/>
            </w:tcBorders>
            <w:vAlign w:val="center"/>
            <w:hideMark/>
          </w:tcPr>
          <w:p w:rsidR="002E67DE" w:rsidRDefault="002E67DE" w:rsidP="00A96C90">
            <w:pPr>
              <w:spacing w:after="0" w:line="240" w:lineRule="auto"/>
              <w:jc w:val="center"/>
              <w:rPr>
                <w:rFonts w:ascii="Times New Roman" w:eastAsia="Times New Roman" w:hAnsi="Times New Roman"/>
                <w:color w:val="000000"/>
                <w:sz w:val="16"/>
                <w:szCs w:val="16"/>
                <w:lang w:eastAsia="en-GB"/>
              </w:rPr>
            </w:pPr>
            <w:r>
              <w:rPr>
                <w:rFonts w:ascii="Times New Roman" w:eastAsia="Times New Roman" w:hAnsi="Times New Roman"/>
                <w:color w:val="000000"/>
                <w:sz w:val="16"/>
                <w:szCs w:val="16"/>
                <w:lang w:eastAsia="en-GB"/>
              </w:rPr>
              <w:t>NA</w:t>
            </w:r>
          </w:p>
        </w:tc>
        <w:tc>
          <w:tcPr>
            <w:tcW w:w="880" w:type="dxa"/>
            <w:vMerge w:val="restart"/>
            <w:tcBorders>
              <w:top w:val="nil"/>
              <w:left w:val="single" w:sz="4" w:space="0" w:color="auto"/>
              <w:bottom w:val="single" w:sz="4" w:space="0" w:color="000000"/>
              <w:right w:val="single" w:sz="4" w:space="0" w:color="auto"/>
            </w:tcBorders>
            <w:noWrap/>
            <w:vAlign w:val="center"/>
            <w:hideMark/>
          </w:tcPr>
          <w:p w:rsidR="002E67DE" w:rsidRDefault="002E67DE" w:rsidP="00A96C90">
            <w:pPr>
              <w:spacing w:after="0" w:line="240" w:lineRule="auto"/>
              <w:jc w:val="center"/>
              <w:rPr>
                <w:rFonts w:ascii="Times New Roman" w:eastAsia="Times New Roman" w:hAnsi="Times New Roman"/>
                <w:color w:val="000000"/>
                <w:sz w:val="16"/>
                <w:szCs w:val="16"/>
                <w:lang w:eastAsia="en-GB"/>
              </w:rPr>
            </w:pPr>
            <w:r>
              <w:rPr>
                <w:rFonts w:ascii="Times New Roman" w:eastAsia="Times New Roman" w:hAnsi="Times New Roman"/>
                <w:color w:val="000000"/>
                <w:sz w:val="16"/>
                <w:szCs w:val="16"/>
                <w:lang w:eastAsia="en-GB"/>
              </w:rPr>
              <w:t>NA</w:t>
            </w:r>
          </w:p>
        </w:tc>
        <w:tc>
          <w:tcPr>
            <w:tcW w:w="907" w:type="dxa"/>
            <w:vMerge w:val="restart"/>
            <w:tcBorders>
              <w:top w:val="nil"/>
              <w:left w:val="single" w:sz="4" w:space="0" w:color="auto"/>
              <w:bottom w:val="single" w:sz="4" w:space="0" w:color="000000"/>
              <w:right w:val="single" w:sz="4" w:space="0" w:color="auto"/>
            </w:tcBorders>
            <w:noWrap/>
            <w:vAlign w:val="center"/>
            <w:hideMark/>
          </w:tcPr>
          <w:p w:rsidR="002E67DE" w:rsidRDefault="002E67DE" w:rsidP="00A96C90">
            <w:pPr>
              <w:spacing w:after="0" w:line="240" w:lineRule="auto"/>
              <w:jc w:val="center"/>
              <w:rPr>
                <w:rFonts w:ascii="Times New Roman" w:eastAsia="Times New Roman" w:hAnsi="Times New Roman"/>
                <w:color w:val="000000"/>
                <w:sz w:val="16"/>
                <w:szCs w:val="16"/>
                <w:lang w:eastAsia="en-GB"/>
              </w:rPr>
            </w:pPr>
            <w:r>
              <w:rPr>
                <w:rFonts w:ascii="Times New Roman" w:eastAsia="Times New Roman" w:hAnsi="Times New Roman"/>
                <w:color w:val="000000"/>
                <w:sz w:val="16"/>
                <w:szCs w:val="16"/>
                <w:lang w:eastAsia="en-GB"/>
              </w:rPr>
              <w:t>NA</w:t>
            </w:r>
          </w:p>
        </w:tc>
        <w:tc>
          <w:tcPr>
            <w:tcW w:w="885" w:type="dxa"/>
            <w:vMerge w:val="restart"/>
            <w:tcBorders>
              <w:top w:val="nil"/>
              <w:left w:val="single" w:sz="4" w:space="0" w:color="auto"/>
              <w:bottom w:val="single" w:sz="4" w:space="0" w:color="000000"/>
              <w:right w:val="single" w:sz="4" w:space="0" w:color="auto"/>
            </w:tcBorders>
            <w:noWrap/>
            <w:vAlign w:val="center"/>
            <w:hideMark/>
          </w:tcPr>
          <w:p w:rsidR="002E67DE" w:rsidRDefault="002E67DE" w:rsidP="00A96C90">
            <w:pPr>
              <w:spacing w:after="0" w:line="240" w:lineRule="auto"/>
              <w:jc w:val="center"/>
              <w:rPr>
                <w:rFonts w:ascii="Times New Roman" w:eastAsia="Times New Roman" w:hAnsi="Times New Roman"/>
                <w:color w:val="000000"/>
                <w:sz w:val="16"/>
                <w:szCs w:val="16"/>
                <w:lang w:eastAsia="en-GB"/>
              </w:rPr>
            </w:pPr>
            <w:r>
              <w:rPr>
                <w:rFonts w:ascii="Times New Roman" w:eastAsia="Times New Roman" w:hAnsi="Times New Roman"/>
                <w:color w:val="000000"/>
                <w:sz w:val="16"/>
                <w:szCs w:val="16"/>
                <w:lang w:eastAsia="en-GB"/>
              </w:rPr>
              <w:t>NA</w:t>
            </w:r>
          </w:p>
        </w:tc>
        <w:tc>
          <w:tcPr>
            <w:tcW w:w="1701" w:type="dxa"/>
            <w:tcBorders>
              <w:top w:val="nil"/>
              <w:left w:val="nil"/>
              <w:bottom w:val="single" w:sz="4" w:space="0" w:color="auto"/>
              <w:right w:val="single" w:sz="4" w:space="0" w:color="auto"/>
            </w:tcBorders>
            <w:noWrap/>
            <w:vAlign w:val="center"/>
            <w:hideMark/>
          </w:tcPr>
          <w:p w:rsidR="002F75A5" w:rsidRDefault="002F75A5" w:rsidP="00A96C90">
            <w:pPr>
              <w:spacing w:after="0" w:line="240" w:lineRule="auto"/>
              <w:jc w:val="center"/>
              <w:rPr>
                <w:rFonts w:ascii="Times New Roman" w:eastAsia="Times New Roman" w:hAnsi="Times New Roman"/>
                <w:color w:val="000000"/>
                <w:sz w:val="16"/>
                <w:szCs w:val="16"/>
                <w:lang w:eastAsia="en-GB"/>
              </w:rPr>
            </w:pPr>
          </w:p>
          <w:p w:rsidR="00A96C90" w:rsidRDefault="002E67DE" w:rsidP="00A96C90">
            <w:pPr>
              <w:spacing w:after="0" w:line="240" w:lineRule="auto"/>
              <w:jc w:val="center"/>
              <w:rPr>
                <w:rFonts w:ascii="Times New Roman" w:eastAsia="Times New Roman" w:hAnsi="Times New Roman"/>
                <w:color w:val="000000"/>
                <w:sz w:val="16"/>
                <w:szCs w:val="16"/>
                <w:lang w:eastAsia="en-GB"/>
              </w:rPr>
            </w:pPr>
            <w:r>
              <w:rPr>
                <w:rFonts w:ascii="Times New Roman" w:eastAsia="Times New Roman" w:hAnsi="Times New Roman"/>
                <w:color w:val="000000"/>
                <w:sz w:val="16"/>
                <w:szCs w:val="16"/>
                <w:lang w:eastAsia="en-GB"/>
              </w:rPr>
              <w:t>-5%  BBB 06-01</w:t>
            </w:r>
            <w:r w:rsidR="00A96C90">
              <w:rPr>
                <w:rFonts w:ascii="Times New Roman" w:eastAsia="Times New Roman" w:hAnsi="Times New Roman"/>
                <w:color w:val="000000"/>
                <w:sz w:val="16"/>
                <w:szCs w:val="16"/>
                <w:lang w:eastAsia="en-GB"/>
              </w:rPr>
              <w:t xml:space="preserve"> </w:t>
            </w:r>
          </w:p>
          <w:p w:rsidR="00A96C90" w:rsidRDefault="002E67DE" w:rsidP="00A96C90">
            <w:pPr>
              <w:spacing w:after="0" w:line="240" w:lineRule="auto"/>
              <w:jc w:val="center"/>
              <w:rPr>
                <w:rFonts w:ascii="Times New Roman" w:eastAsia="Times New Roman" w:hAnsi="Times New Roman"/>
                <w:color w:val="000000"/>
                <w:sz w:val="16"/>
                <w:szCs w:val="16"/>
                <w:lang w:eastAsia="en-GB"/>
              </w:rPr>
            </w:pPr>
            <w:r>
              <w:rPr>
                <w:rFonts w:ascii="Times New Roman" w:eastAsia="Times New Roman" w:hAnsi="Times New Roman"/>
                <w:color w:val="000000"/>
                <w:sz w:val="16"/>
                <w:szCs w:val="16"/>
                <w:lang w:eastAsia="en-GB"/>
              </w:rPr>
              <w:t>=</w:t>
            </w:r>
          </w:p>
          <w:p w:rsidR="002E67DE" w:rsidRDefault="002E67DE" w:rsidP="00A96C90">
            <w:pPr>
              <w:spacing w:after="0" w:line="240" w:lineRule="auto"/>
              <w:jc w:val="center"/>
              <w:rPr>
                <w:rFonts w:ascii="Times New Roman" w:eastAsia="Times New Roman" w:hAnsi="Times New Roman"/>
                <w:color w:val="000000"/>
                <w:sz w:val="16"/>
                <w:szCs w:val="16"/>
                <w:lang w:eastAsia="en-GB"/>
              </w:rPr>
            </w:pPr>
            <w:r>
              <w:rPr>
                <w:rFonts w:ascii="Times New Roman" w:eastAsia="Times New Roman" w:hAnsi="Times New Roman"/>
                <w:color w:val="000000"/>
                <w:sz w:val="16"/>
                <w:szCs w:val="16"/>
                <w:lang w:eastAsia="en-GB"/>
              </w:rPr>
              <w:t>- 18.96</w:t>
            </w:r>
          </w:p>
        </w:tc>
        <w:tc>
          <w:tcPr>
            <w:tcW w:w="1701" w:type="dxa"/>
            <w:tcBorders>
              <w:top w:val="nil"/>
              <w:left w:val="nil"/>
              <w:bottom w:val="single" w:sz="4" w:space="0" w:color="auto"/>
              <w:right w:val="single" w:sz="4" w:space="0" w:color="auto"/>
            </w:tcBorders>
            <w:noWrap/>
            <w:vAlign w:val="center"/>
            <w:hideMark/>
          </w:tcPr>
          <w:p w:rsidR="00A96C90" w:rsidRDefault="002E67DE" w:rsidP="00A96C90">
            <w:pPr>
              <w:spacing w:after="0" w:line="240" w:lineRule="auto"/>
              <w:jc w:val="center"/>
              <w:rPr>
                <w:rFonts w:ascii="Times New Roman" w:eastAsia="Times New Roman" w:hAnsi="Times New Roman"/>
                <w:color w:val="000000"/>
                <w:sz w:val="16"/>
                <w:szCs w:val="16"/>
                <w:lang w:eastAsia="en-GB"/>
              </w:rPr>
            </w:pPr>
            <w:r>
              <w:rPr>
                <w:rFonts w:ascii="Times New Roman" w:eastAsia="Times New Roman" w:hAnsi="Times New Roman"/>
                <w:color w:val="000000"/>
                <w:sz w:val="16"/>
                <w:szCs w:val="16"/>
                <w:lang w:eastAsia="en-GB"/>
              </w:rPr>
              <w:t>-10%  BBB 06-01</w:t>
            </w:r>
          </w:p>
          <w:p w:rsidR="00A96C90" w:rsidRDefault="002E67DE" w:rsidP="00A96C90">
            <w:pPr>
              <w:spacing w:after="0" w:line="240" w:lineRule="auto"/>
              <w:jc w:val="center"/>
              <w:rPr>
                <w:rFonts w:ascii="Times New Roman" w:eastAsia="Times New Roman" w:hAnsi="Times New Roman"/>
                <w:color w:val="000000"/>
                <w:sz w:val="16"/>
                <w:szCs w:val="16"/>
                <w:lang w:eastAsia="en-GB"/>
              </w:rPr>
            </w:pPr>
            <w:r>
              <w:rPr>
                <w:rFonts w:ascii="Times New Roman" w:eastAsia="Times New Roman" w:hAnsi="Times New Roman"/>
                <w:color w:val="000000"/>
                <w:sz w:val="16"/>
                <w:szCs w:val="16"/>
                <w:lang w:eastAsia="en-GB"/>
              </w:rPr>
              <w:t>=</w:t>
            </w:r>
          </w:p>
          <w:p w:rsidR="002E67DE" w:rsidRDefault="002E67DE" w:rsidP="00A96C90">
            <w:pPr>
              <w:spacing w:after="0" w:line="240" w:lineRule="auto"/>
              <w:jc w:val="center"/>
              <w:rPr>
                <w:rFonts w:ascii="Times New Roman" w:eastAsia="Times New Roman" w:hAnsi="Times New Roman"/>
                <w:color w:val="000000"/>
                <w:sz w:val="16"/>
                <w:szCs w:val="16"/>
                <w:lang w:eastAsia="en-GB"/>
              </w:rPr>
            </w:pPr>
            <w:r>
              <w:rPr>
                <w:rFonts w:ascii="Times New Roman" w:eastAsia="Times New Roman" w:hAnsi="Times New Roman"/>
                <w:color w:val="000000"/>
                <w:sz w:val="16"/>
                <w:szCs w:val="16"/>
                <w:lang w:eastAsia="en-GB"/>
              </w:rPr>
              <w:t>- 37.91</w:t>
            </w:r>
          </w:p>
        </w:tc>
        <w:tc>
          <w:tcPr>
            <w:tcW w:w="1843" w:type="dxa"/>
            <w:tcBorders>
              <w:top w:val="nil"/>
              <w:left w:val="nil"/>
              <w:bottom w:val="single" w:sz="4" w:space="0" w:color="auto"/>
              <w:right w:val="single" w:sz="4" w:space="0" w:color="auto"/>
            </w:tcBorders>
            <w:noWrap/>
            <w:vAlign w:val="center"/>
            <w:hideMark/>
          </w:tcPr>
          <w:p w:rsidR="00A96C90" w:rsidRDefault="002E67DE" w:rsidP="00A96C90">
            <w:pPr>
              <w:spacing w:after="0" w:line="240" w:lineRule="auto"/>
              <w:jc w:val="center"/>
              <w:rPr>
                <w:rFonts w:ascii="Times New Roman" w:eastAsia="Times New Roman" w:hAnsi="Times New Roman"/>
                <w:color w:val="000000"/>
                <w:sz w:val="16"/>
                <w:szCs w:val="16"/>
                <w:lang w:eastAsia="en-GB"/>
              </w:rPr>
            </w:pPr>
            <w:r>
              <w:rPr>
                <w:rFonts w:ascii="Times New Roman" w:eastAsia="Times New Roman" w:hAnsi="Times New Roman"/>
                <w:color w:val="000000"/>
                <w:sz w:val="16"/>
                <w:szCs w:val="16"/>
                <w:lang w:eastAsia="en-GB"/>
              </w:rPr>
              <w:t xml:space="preserve">-20% BBB 06-01 </w:t>
            </w:r>
          </w:p>
          <w:p w:rsidR="00A96C90" w:rsidRDefault="002E67DE" w:rsidP="00A96C90">
            <w:pPr>
              <w:spacing w:after="0" w:line="240" w:lineRule="auto"/>
              <w:jc w:val="center"/>
              <w:rPr>
                <w:rFonts w:ascii="Times New Roman" w:eastAsia="Times New Roman" w:hAnsi="Times New Roman"/>
                <w:color w:val="000000"/>
                <w:sz w:val="16"/>
                <w:szCs w:val="16"/>
                <w:lang w:eastAsia="en-GB"/>
              </w:rPr>
            </w:pPr>
            <w:r>
              <w:rPr>
                <w:rFonts w:ascii="Times New Roman" w:eastAsia="Times New Roman" w:hAnsi="Times New Roman"/>
                <w:color w:val="000000"/>
                <w:sz w:val="16"/>
                <w:szCs w:val="16"/>
                <w:lang w:eastAsia="en-GB"/>
              </w:rPr>
              <w:t xml:space="preserve">= </w:t>
            </w:r>
          </w:p>
          <w:p w:rsidR="002E67DE" w:rsidRDefault="002E67DE" w:rsidP="00A96C90">
            <w:pPr>
              <w:spacing w:after="0" w:line="240" w:lineRule="auto"/>
              <w:jc w:val="center"/>
              <w:rPr>
                <w:rFonts w:ascii="Times New Roman" w:eastAsia="Times New Roman" w:hAnsi="Times New Roman"/>
                <w:color w:val="000000"/>
                <w:sz w:val="16"/>
                <w:szCs w:val="16"/>
                <w:lang w:eastAsia="en-GB"/>
              </w:rPr>
            </w:pPr>
            <w:r>
              <w:rPr>
                <w:rFonts w:ascii="Times New Roman" w:eastAsia="Times New Roman" w:hAnsi="Times New Roman"/>
                <w:color w:val="000000"/>
                <w:sz w:val="16"/>
                <w:szCs w:val="16"/>
                <w:lang w:eastAsia="en-GB"/>
              </w:rPr>
              <w:t>75.82</w:t>
            </w:r>
          </w:p>
        </w:tc>
      </w:tr>
      <w:tr w:rsidR="002E67DE" w:rsidTr="00A96C90">
        <w:trPr>
          <w:trHeight w:val="300"/>
        </w:trPr>
        <w:tc>
          <w:tcPr>
            <w:tcW w:w="0" w:type="auto"/>
            <w:vMerge/>
            <w:tcBorders>
              <w:top w:val="nil"/>
              <w:left w:val="single" w:sz="4" w:space="0" w:color="auto"/>
              <w:bottom w:val="single" w:sz="4" w:space="0" w:color="000000"/>
              <w:right w:val="single" w:sz="4" w:space="0" w:color="auto"/>
            </w:tcBorders>
            <w:vAlign w:val="center"/>
            <w:hideMark/>
          </w:tcPr>
          <w:p w:rsidR="002E67DE" w:rsidRDefault="002E67DE">
            <w:pPr>
              <w:spacing w:after="0" w:line="240" w:lineRule="auto"/>
              <w:rPr>
                <w:rFonts w:ascii="Times New Roman" w:eastAsia="Times New Roman" w:hAnsi="Times New Roman"/>
                <w:b/>
                <w:bCs/>
                <w:color w:val="000000"/>
                <w:sz w:val="16"/>
                <w:szCs w:val="16"/>
                <w:lang w:eastAsia="en-GB"/>
              </w:rPr>
            </w:pPr>
          </w:p>
        </w:tc>
        <w:tc>
          <w:tcPr>
            <w:tcW w:w="0" w:type="auto"/>
            <w:vMerge/>
            <w:tcBorders>
              <w:top w:val="nil"/>
              <w:left w:val="single" w:sz="4" w:space="0" w:color="auto"/>
              <w:bottom w:val="single" w:sz="4" w:space="0" w:color="000000"/>
              <w:right w:val="single" w:sz="4" w:space="0" w:color="auto"/>
            </w:tcBorders>
            <w:vAlign w:val="center"/>
            <w:hideMark/>
          </w:tcPr>
          <w:p w:rsidR="002E67DE" w:rsidRDefault="002E67DE" w:rsidP="00A96C90">
            <w:pPr>
              <w:spacing w:after="0" w:line="240" w:lineRule="auto"/>
              <w:jc w:val="center"/>
              <w:rPr>
                <w:rFonts w:ascii="Times New Roman" w:eastAsia="Times New Roman" w:hAnsi="Times New Roman"/>
                <w:color w:val="000000"/>
                <w:sz w:val="16"/>
                <w:szCs w:val="16"/>
                <w:lang w:eastAsia="en-GB"/>
              </w:rPr>
            </w:pPr>
          </w:p>
        </w:tc>
        <w:tc>
          <w:tcPr>
            <w:tcW w:w="880" w:type="dxa"/>
            <w:vMerge/>
            <w:tcBorders>
              <w:top w:val="nil"/>
              <w:left w:val="single" w:sz="4" w:space="0" w:color="auto"/>
              <w:bottom w:val="single" w:sz="4" w:space="0" w:color="000000"/>
              <w:right w:val="single" w:sz="4" w:space="0" w:color="auto"/>
            </w:tcBorders>
            <w:vAlign w:val="center"/>
            <w:hideMark/>
          </w:tcPr>
          <w:p w:rsidR="002E67DE" w:rsidRDefault="002E67DE" w:rsidP="00A96C90">
            <w:pPr>
              <w:spacing w:after="0" w:line="240" w:lineRule="auto"/>
              <w:jc w:val="center"/>
              <w:rPr>
                <w:rFonts w:ascii="Times New Roman" w:eastAsia="Times New Roman" w:hAnsi="Times New Roman"/>
                <w:color w:val="000000"/>
                <w:sz w:val="16"/>
                <w:szCs w:val="16"/>
                <w:lang w:eastAsia="en-GB"/>
              </w:rPr>
            </w:pPr>
          </w:p>
        </w:tc>
        <w:tc>
          <w:tcPr>
            <w:tcW w:w="907" w:type="dxa"/>
            <w:vMerge/>
            <w:tcBorders>
              <w:top w:val="nil"/>
              <w:left w:val="single" w:sz="4" w:space="0" w:color="auto"/>
              <w:bottom w:val="single" w:sz="4" w:space="0" w:color="000000"/>
              <w:right w:val="single" w:sz="4" w:space="0" w:color="auto"/>
            </w:tcBorders>
            <w:vAlign w:val="center"/>
            <w:hideMark/>
          </w:tcPr>
          <w:p w:rsidR="002E67DE" w:rsidRDefault="002E67DE" w:rsidP="00A96C90">
            <w:pPr>
              <w:spacing w:after="0" w:line="240" w:lineRule="auto"/>
              <w:jc w:val="center"/>
              <w:rPr>
                <w:rFonts w:ascii="Times New Roman" w:eastAsia="Times New Roman" w:hAnsi="Times New Roman"/>
                <w:color w:val="000000"/>
                <w:sz w:val="16"/>
                <w:szCs w:val="16"/>
                <w:lang w:eastAsia="en-GB"/>
              </w:rPr>
            </w:pPr>
          </w:p>
        </w:tc>
        <w:tc>
          <w:tcPr>
            <w:tcW w:w="885" w:type="dxa"/>
            <w:vMerge/>
            <w:tcBorders>
              <w:top w:val="nil"/>
              <w:left w:val="single" w:sz="4" w:space="0" w:color="auto"/>
              <w:bottom w:val="single" w:sz="4" w:space="0" w:color="000000"/>
              <w:right w:val="single" w:sz="4" w:space="0" w:color="auto"/>
            </w:tcBorders>
            <w:vAlign w:val="center"/>
            <w:hideMark/>
          </w:tcPr>
          <w:p w:rsidR="002E67DE" w:rsidRDefault="002E67DE" w:rsidP="00A96C90">
            <w:pPr>
              <w:spacing w:after="0" w:line="240" w:lineRule="auto"/>
              <w:jc w:val="center"/>
              <w:rPr>
                <w:rFonts w:ascii="Times New Roman" w:eastAsia="Times New Roman" w:hAnsi="Times New Roman"/>
                <w:color w:val="000000"/>
                <w:sz w:val="16"/>
                <w:szCs w:val="16"/>
                <w:lang w:eastAsia="en-GB"/>
              </w:rPr>
            </w:pPr>
          </w:p>
        </w:tc>
        <w:tc>
          <w:tcPr>
            <w:tcW w:w="1701" w:type="dxa"/>
            <w:tcBorders>
              <w:top w:val="nil"/>
              <w:left w:val="nil"/>
              <w:bottom w:val="single" w:sz="4" w:space="0" w:color="auto"/>
              <w:right w:val="single" w:sz="4" w:space="0" w:color="auto"/>
            </w:tcBorders>
            <w:noWrap/>
            <w:vAlign w:val="center"/>
            <w:hideMark/>
          </w:tcPr>
          <w:p w:rsidR="002F75A5" w:rsidRDefault="002F75A5" w:rsidP="00A96C90">
            <w:pPr>
              <w:spacing w:after="0" w:line="240" w:lineRule="auto"/>
              <w:jc w:val="center"/>
              <w:rPr>
                <w:rFonts w:ascii="Times New Roman" w:eastAsia="Times New Roman" w:hAnsi="Times New Roman"/>
                <w:color w:val="000000"/>
                <w:sz w:val="16"/>
                <w:szCs w:val="16"/>
                <w:lang w:eastAsia="en-GB"/>
              </w:rPr>
            </w:pPr>
          </w:p>
          <w:p w:rsidR="00A96C90" w:rsidRDefault="002E67DE" w:rsidP="00A96C90">
            <w:pPr>
              <w:spacing w:after="0" w:line="240" w:lineRule="auto"/>
              <w:jc w:val="center"/>
              <w:rPr>
                <w:rFonts w:ascii="Times New Roman" w:eastAsia="Times New Roman" w:hAnsi="Times New Roman"/>
                <w:color w:val="000000"/>
                <w:sz w:val="16"/>
                <w:szCs w:val="16"/>
                <w:lang w:eastAsia="en-GB"/>
              </w:rPr>
            </w:pPr>
            <w:r>
              <w:rPr>
                <w:rFonts w:ascii="Times New Roman" w:eastAsia="Times New Roman" w:hAnsi="Times New Roman"/>
                <w:color w:val="000000"/>
                <w:sz w:val="16"/>
                <w:szCs w:val="16"/>
                <w:lang w:eastAsia="en-GB"/>
              </w:rPr>
              <w:t>-25% on BBB- 06-02 =</w:t>
            </w:r>
          </w:p>
          <w:p w:rsidR="002E67DE" w:rsidRDefault="002E67DE" w:rsidP="00A96C90">
            <w:pPr>
              <w:spacing w:after="0" w:line="240" w:lineRule="auto"/>
              <w:jc w:val="center"/>
              <w:rPr>
                <w:rFonts w:ascii="Times New Roman" w:eastAsia="Times New Roman" w:hAnsi="Times New Roman"/>
                <w:color w:val="000000"/>
                <w:sz w:val="16"/>
                <w:szCs w:val="16"/>
                <w:lang w:eastAsia="en-GB"/>
              </w:rPr>
            </w:pPr>
            <w:r>
              <w:rPr>
                <w:rFonts w:ascii="Times New Roman" w:eastAsia="Times New Roman" w:hAnsi="Times New Roman"/>
                <w:color w:val="000000"/>
                <w:sz w:val="16"/>
                <w:szCs w:val="16"/>
                <w:lang w:eastAsia="en-GB"/>
              </w:rPr>
              <w:t>-4.29</w:t>
            </w:r>
          </w:p>
        </w:tc>
        <w:tc>
          <w:tcPr>
            <w:tcW w:w="1701" w:type="dxa"/>
            <w:tcBorders>
              <w:top w:val="nil"/>
              <w:left w:val="nil"/>
              <w:bottom w:val="single" w:sz="4" w:space="0" w:color="auto"/>
              <w:right w:val="single" w:sz="4" w:space="0" w:color="auto"/>
            </w:tcBorders>
            <w:noWrap/>
            <w:vAlign w:val="center"/>
            <w:hideMark/>
          </w:tcPr>
          <w:p w:rsidR="00A96C90" w:rsidRDefault="002E67DE" w:rsidP="00A96C90">
            <w:pPr>
              <w:spacing w:after="0" w:line="240" w:lineRule="auto"/>
              <w:jc w:val="center"/>
              <w:rPr>
                <w:rFonts w:ascii="Times New Roman" w:eastAsia="Times New Roman" w:hAnsi="Times New Roman"/>
                <w:color w:val="000000"/>
                <w:sz w:val="16"/>
                <w:szCs w:val="16"/>
                <w:lang w:eastAsia="en-GB"/>
              </w:rPr>
            </w:pPr>
            <w:r>
              <w:rPr>
                <w:rFonts w:ascii="Times New Roman" w:eastAsia="Times New Roman" w:hAnsi="Times New Roman"/>
                <w:color w:val="000000"/>
                <w:sz w:val="16"/>
                <w:szCs w:val="16"/>
                <w:lang w:eastAsia="en-GB"/>
              </w:rPr>
              <w:t>-10% BBB-  06-02</w:t>
            </w:r>
          </w:p>
          <w:p w:rsidR="00A96C90" w:rsidRDefault="00A96C90" w:rsidP="00A96C90">
            <w:pPr>
              <w:spacing w:after="0" w:line="240" w:lineRule="auto"/>
              <w:jc w:val="center"/>
              <w:rPr>
                <w:rFonts w:ascii="Times New Roman" w:eastAsia="Times New Roman" w:hAnsi="Times New Roman"/>
                <w:color w:val="000000"/>
                <w:sz w:val="16"/>
                <w:szCs w:val="16"/>
                <w:lang w:eastAsia="en-GB"/>
              </w:rPr>
            </w:pPr>
            <w:r>
              <w:rPr>
                <w:rFonts w:ascii="Times New Roman" w:eastAsia="Times New Roman" w:hAnsi="Times New Roman"/>
                <w:color w:val="000000"/>
                <w:sz w:val="16"/>
                <w:szCs w:val="16"/>
                <w:lang w:eastAsia="en-GB"/>
              </w:rPr>
              <w:t xml:space="preserve"> </w:t>
            </w:r>
            <w:r w:rsidR="002E67DE">
              <w:rPr>
                <w:rFonts w:ascii="Times New Roman" w:eastAsia="Times New Roman" w:hAnsi="Times New Roman"/>
                <w:color w:val="000000"/>
                <w:sz w:val="16"/>
                <w:szCs w:val="16"/>
                <w:lang w:eastAsia="en-GB"/>
              </w:rPr>
              <w:t>=</w:t>
            </w:r>
            <w:r>
              <w:rPr>
                <w:rFonts w:ascii="Times New Roman" w:eastAsia="Times New Roman" w:hAnsi="Times New Roman"/>
                <w:color w:val="000000"/>
                <w:sz w:val="16"/>
                <w:szCs w:val="16"/>
                <w:lang w:eastAsia="en-GB"/>
              </w:rPr>
              <w:t xml:space="preserve"> </w:t>
            </w:r>
          </w:p>
          <w:p w:rsidR="002E67DE" w:rsidRDefault="002E67DE" w:rsidP="00A96C90">
            <w:pPr>
              <w:spacing w:after="0" w:line="240" w:lineRule="auto"/>
              <w:jc w:val="center"/>
              <w:rPr>
                <w:rFonts w:ascii="Times New Roman" w:eastAsia="Times New Roman" w:hAnsi="Times New Roman"/>
                <w:color w:val="000000"/>
                <w:sz w:val="16"/>
                <w:szCs w:val="16"/>
                <w:lang w:eastAsia="en-GB"/>
              </w:rPr>
            </w:pPr>
            <w:r>
              <w:rPr>
                <w:rFonts w:ascii="Times New Roman" w:eastAsia="Times New Roman" w:hAnsi="Times New Roman"/>
                <w:color w:val="000000"/>
                <w:sz w:val="16"/>
                <w:szCs w:val="16"/>
                <w:lang w:eastAsia="en-GB"/>
              </w:rPr>
              <w:t>6.22</w:t>
            </w:r>
          </w:p>
        </w:tc>
        <w:tc>
          <w:tcPr>
            <w:tcW w:w="1843" w:type="dxa"/>
            <w:tcBorders>
              <w:top w:val="nil"/>
              <w:left w:val="nil"/>
              <w:bottom w:val="single" w:sz="4" w:space="0" w:color="auto"/>
              <w:right w:val="single" w:sz="4" w:space="0" w:color="auto"/>
            </w:tcBorders>
            <w:noWrap/>
            <w:vAlign w:val="center"/>
            <w:hideMark/>
          </w:tcPr>
          <w:p w:rsidR="00A96C90" w:rsidRDefault="002E67DE" w:rsidP="00A96C90">
            <w:pPr>
              <w:spacing w:after="0" w:line="240" w:lineRule="auto"/>
              <w:jc w:val="center"/>
              <w:rPr>
                <w:rFonts w:ascii="Times New Roman" w:eastAsia="Times New Roman" w:hAnsi="Times New Roman"/>
                <w:color w:val="000000"/>
                <w:sz w:val="16"/>
                <w:szCs w:val="16"/>
                <w:lang w:eastAsia="en-GB"/>
              </w:rPr>
            </w:pPr>
            <w:r>
              <w:rPr>
                <w:rFonts w:ascii="Times New Roman" w:eastAsia="Times New Roman" w:hAnsi="Times New Roman"/>
                <w:color w:val="000000"/>
                <w:sz w:val="16"/>
                <w:szCs w:val="16"/>
                <w:lang w:eastAsia="en-GB"/>
              </w:rPr>
              <w:t>-40% BBB- 06-02</w:t>
            </w:r>
          </w:p>
          <w:p w:rsidR="00A96C90" w:rsidRDefault="002E67DE" w:rsidP="00A96C90">
            <w:pPr>
              <w:spacing w:after="0" w:line="240" w:lineRule="auto"/>
              <w:jc w:val="center"/>
              <w:rPr>
                <w:rFonts w:ascii="Times New Roman" w:eastAsia="Times New Roman" w:hAnsi="Times New Roman"/>
                <w:color w:val="000000"/>
                <w:sz w:val="16"/>
                <w:szCs w:val="16"/>
                <w:lang w:eastAsia="en-GB"/>
              </w:rPr>
            </w:pPr>
            <w:r>
              <w:rPr>
                <w:rFonts w:ascii="Times New Roman" w:eastAsia="Times New Roman" w:hAnsi="Times New Roman"/>
                <w:color w:val="000000"/>
                <w:sz w:val="16"/>
                <w:szCs w:val="16"/>
                <w:lang w:eastAsia="en-GB"/>
              </w:rPr>
              <w:t xml:space="preserve"> = </w:t>
            </w:r>
          </w:p>
          <w:p w:rsidR="002E67DE" w:rsidRDefault="002E67DE" w:rsidP="00A96C90">
            <w:pPr>
              <w:spacing w:after="0" w:line="240" w:lineRule="auto"/>
              <w:jc w:val="center"/>
              <w:rPr>
                <w:rFonts w:ascii="Times New Roman" w:eastAsia="Times New Roman" w:hAnsi="Times New Roman"/>
                <w:color w:val="000000"/>
                <w:sz w:val="16"/>
                <w:szCs w:val="16"/>
                <w:lang w:eastAsia="en-GB"/>
              </w:rPr>
            </w:pPr>
            <w:r>
              <w:rPr>
                <w:rFonts w:ascii="Times New Roman" w:eastAsia="Times New Roman" w:hAnsi="Times New Roman"/>
                <w:color w:val="000000"/>
                <w:sz w:val="16"/>
                <w:szCs w:val="16"/>
                <w:lang w:eastAsia="en-GB"/>
              </w:rPr>
              <w:t>13.96</w:t>
            </w:r>
          </w:p>
        </w:tc>
      </w:tr>
      <w:tr w:rsidR="002E67DE" w:rsidTr="00A96C90">
        <w:trPr>
          <w:trHeight w:val="300"/>
        </w:trPr>
        <w:tc>
          <w:tcPr>
            <w:tcW w:w="0" w:type="auto"/>
            <w:vMerge/>
            <w:tcBorders>
              <w:top w:val="nil"/>
              <w:left w:val="single" w:sz="4" w:space="0" w:color="auto"/>
              <w:bottom w:val="single" w:sz="4" w:space="0" w:color="000000"/>
              <w:right w:val="single" w:sz="4" w:space="0" w:color="auto"/>
            </w:tcBorders>
            <w:vAlign w:val="center"/>
            <w:hideMark/>
          </w:tcPr>
          <w:p w:rsidR="002E67DE" w:rsidRDefault="002E67DE">
            <w:pPr>
              <w:spacing w:after="0" w:line="240" w:lineRule="auto"/>
              <w:rPr>
                <w:rFonts w:ascii="Times New Roman" w:eastAsia="Times New Roman" w:hAnsi="Times New Roman"/>
                <w:b/>
                <w:bCs/>
                <w:color w:val="000000"/>
                <w:sz w:val="16"/>
                <w:szCs w:val="16"/>
                <w:lang w:eastAsia="en-GB"/>
              </w:rPr>
            </w:pPr>
          </w:p>
        </w:tc>
        <w:tc>
          <w:tcPr>
            <w:tcW w:w="0" w:type="auto"/>
            <w:vMerge/>
            <w:tcBorders>
              <w:top w:val="nil"/>
              <w:left w:val="single" w:sz="4" w:space="0" w:color="auto"/>
              <w:bottom w:val="single" w:sz="4" w:space="0" w:color="000000"/>
              <w:right w:val="single" w:sz="4" w:space="0" w:color="auto"/>
            </w:tcBorders>
            <w:vAlign w:val="center"/>
            <w:hideMark/>
          </w:tcPr>
          <w:p w:rsidR="002E67DE" w:rsidRDefault="002E67DE" w:rsidP="00A96C90">
            <w:pPr>
              <w:spacing w:after="0" w:line="240" w:lineRule="auto"/>
              <w:jc w:val="center"/>
              <w:rPr>
                <w:rFonts w:ascii="Times New Roman" w:eastAsia="Times New Roman" w:hAnsi="Times New Roman"/>
                <w:color w:val="000000"/>
                <w:sz w:val="16"/>
                <w:szCs w:val="16"/>
                <w:lang w:eastAsia="en-GB"/>
              </w:rPr>
            </w:pPr>
          </w:p>
        </w:tc>
        <w:tc>
          <w:tcPr>
            <w:tcW w:w="880" w:type="dxa"/>
            <w:vMerge/>
            <w:tcBorders>
              <w:top w:val="nil"/>
              <w:left w:val="single" w:sz="4" w:space="0" w:color="auto"/>
              <w:bottom w:val="single" w:sz="4" w:space="0" w:color="000000"/>
              <w:right w:val="single" w:sz="4" w:space="0" w:color="auto"/>
            </w:tcBorders>
            <w:vAlign w:val="center"/>
            <w:hideMark/>
          </w:tcPr>
          <w:p w:rsidR="002E67DE" w:rsidRDefault="002E67DE" w:rsidP="00A96C90">
            <w:pPr>
              <w:spacing w:after="0" w:line="240" w:lineRule="auto"/>
              <w:jc w:val="center"/>
              <w:rPr>
                <w:rFonts w:ascii="Times New Roman" w:eastAsia="Times New Roman" w:hAnsi="Times New Roman"/>
                <w:color w:val="000000"/>
                <w:sz w:val="16"/>
                <w:szCs w:val="16"/>
                <w:lang w:eastAsia="en-GB"/>
              </w:rPr>
            </w:pPr>
          </w:p>
        </w:tc>
        <w:tc>
          <w:tcPr>
            <w:tcW w:w="907" w:type="dxa"/>
            <w:vMerge/>
            <w:tcBorders>
              <w:top w:val="nil"/>
              <w:left w:val="single" w:sz="4" w:space="0" w:color="auto"/>
              <w:bottom w:val="single" w:sz="4" w:space="0" w:color="000000"/>
              <w:right w:val="single" w:sz="4" w:space="0" w:color="auto"/>
            </w:tcBorders>
            <w:vAlign w:val="center"/>
            <w:hideMark/>
          </w:tcPr>
          <w:p w:rsidR="002E67DE" w:rsidRDefault="002E67DE" w:rsidP="00A96C90">
            <w:pPr>
              <w:spacing w:after="0" w:line="240" w:lineRule="auto"/>
              <w:jc w:val="center"/>
              <w:rPr>
                <w:rFonts w:ascii="Times New Roman" w:eastAsia="Times New Roman" w:hAnsi="Times New Roman"/>
                <w:color w:val="000000"/>
                <w:sz w:val="16"/>
                <w:szCs w:val="16"/>
                <w:lang w:eastAsia="en-GB"/>
              </w:rPr>
            </w:pPr>
          </w:p>
        </w:tc>
        <w:tc>
          <w:tcPr>
            <w:tcW w:w="885" w:type="dxa"/>
            <w:vMerge/>
            <w:tcBorders>
              <w:top w:val="nil"/>
              <w:left w:val="single" w:sz="4" w:space="0" w:color="auto"/>
              <w:bottom w:val="single" w:sz="4" w:space="0" w:color="000000"/>
              <w:right w:val="single" w:sz="4" w:space="0" w:color="auto"/>
            </w:tcBorders>
            <w:vAlign w:val="center"/>
            <w:hideMark/>
          </w:tcPr>
          <w:p w:rsidR="002E67DE" w:rsidRDefault="002E67DE" w:rsidP="00A96C90">
            <w:pPr>
              <w:spacing w:after="0" w:line="240" w:lineRule="auto"/>
              <w:jc w:val="center"/>
              <w:rPr>
                <w:rFonts w:ascii="Times New Roman" w:eastAsia="Times New Roman" w:hAnsi="Times New Roman"/>
                <w:color w:val="000000"/>
                <w:sz w:val="16"/>
                <w:szCs w:val="16"/>
                <w:lang w:eastAsia="en-GB"/>
              </w:rPr>
            </w:pPr>
          </w:p>
        </w:tc>
        <w:tc>
          <w:tcPr>
            <w:tcW w:w="1701" w:type="dxa"/>
            <w:tcBorders>
              <w:top w:val="nil"/>
              <w:left w:val="nil"/>
              <w:bottom w:val="single" w:sz="4" w:space="0" w:color="auto"/>
              <w:right w:val="single" w:sz="4" w:space="0" w:color="auto"/>
            </w:tcBorders>
            <w:noWrap/>
            <w:vAlign w:val="center"/>
            <w:hideMark/>
          </w:tcPr>
          <w:p w:rsidR="002E67DE" w:rsidRDefault="002E67DE" w:rsidP="00A96C90">
            <w:pPr>
              <w:spacing w:after="0" w:line="240" w:lineRule="auto"/>
              <w:jc w:val="center"/>
              <w:rPr>
                <w:rFonts w:ascii="Times New Roman" w:eastAsia="Times New Roman" w:hAnsi="Times New Roman"/>
                <w:color w:val="000000"/>
                <w:sz w:val="16"/>
                <w:szCs w:val="16"/>
                <w:lang w:eastAsia="en-GB"/>
              </w:rPr>
            </w:pPr>
          </w:p>
        </w:tc>
        <w:tc>
          <w:tcPr>
            <w:tcW w:w="1701" w:type="dxa"/>
            <w:tcBorders>
              <w:top w:val="nil"/>
              <w:left w:val="nil"/>
              <w:bottom w:val="single" w:sz="4" w:space="0" w:color="auto"/>
              <w:right w:val="single" w:sz="4" w:space="0" w:color="auto"/>
            </w:tcBorders>
            <w:noWrap/>
            <w:vAlign w:val="center"/>
            <w:hideMark/>
          </w:tcPr>
          <w:p w:rsidR="002E67DE" w:rsidRDefault="002E67DE" w:rsidP="00A96C90">
            <w:pPr>
              <w:spacing w:after="0" w:line="240" w:lineRule="auto"/>
              <w:jc w:val="center"/>
              <w:rPr>
                <w:rFonts w:ascii="Times New Roman" w:eastAsia="Times New Roman" w:hAnsi="Times New Roman"/>
                <w:color w:val="000000"/>
                <w:sz w:val="16"/>
                <w:szCs w:val="16"/>
                <w:lang w:eastAsia="en-GB"/>
              </w:rPr>
            </w:pPr>
          </w:p>
        </w:tc>
        <w:tc>
          <w:tcPr>
            <w:tcW w:w="1843" w:type="dxa"/>
            <w:tcBorders>
              <w:top w:val="nil"/>
              <w:left w:val="nil"/>
              <w:bottom w:val="single" w:sz="4" w:space="0" w:color="auto"/>
              <w:right w:val="single" w:sz="4" w:space="0" w:color="auto"/>
            </w:tcBorders>
            <w:noWrap/>
            <w:vAlign w:val="center"/>
            <w:hideMark/>
          </w:tcPr>
          <w:p w:rsidR="002E67DE" w:rsidRDefault="002E67DE" w:rsidP="00A96C90">
            <w:pPr>
              <w:spacing w:after="0" w:line="240" w:lineRule="auto"/>
              <w:jc w:val="center"/>
              <w:rPr>
                <w:rFonts w:ascii="Times New Roman" w:eastAsia="Times New Roman" w:hAnsi="Times New Roman"/>
                <w:color w:val="000000"/>
                <w:sz w:val="16"/>
                <w:szCs w:val="16"/>
                <w:lang w:eastAsia="en-GB"/>
              </w:rPr>
            </w:pPr>
            <w:r>
              <w:rPr>
                <w:rFonts w:ascii="Times New Roman" w:eastAsia="Times New Roman" w:hAnsi="Times New Roman"/>
                <w:color w:val="000000"/>
                <w:sz w:val="16"/>
                <w:szCs w:val="16"/>
                <w:lang w:eastAsia="en-GB"/>
              </w:rPr>
              <w:t>-10% AA  07-01= 0.03</w:t>
            </w:r>
          </w:p>
        </w:tc>
      </w:tr>
      <w:tr w:rsidR="002E67DE" w:rsidTr="00A96C90">
        <w:trPr>
          <w:trHeight w:val="300"/>
        </w:trPr>
        <w:tc>
          <w:tcPr>
            <w:tcW w:w="0" w:type="auto"/>
            <w:vMerge/>
            <w:tcBorders>
              <w:top w:val="nil"/>
              <w:left w:val="single" w:sz="4" w:space="0" w:color="auto"/>
              <w:bottom w:val="single" w:sz="4" w:space="0" w:color="000000"/>
              <w:right w:val="single" w:sz="4" w:space="0" w:color="auto"/>
            </w:tcBorders>
            <w:vAlign w:val="center"/>
            <w:hideMark/>
          </w:tcPr>
          <w:p w:rsidR="002E67DE" w:rsidRDefault="002E67DE">
            <w:pPr>
              <w:spacing w:after="0" w:line="240" w:lineRule="auto"/>
              <w:rPr>
                <w:rFonts w:ascii="Times New Roman" w:eastAsia="Times New Roman" w:hAnsi="Times New Roman"/>
                <w:b/>
                <w:bCs/>
                <w:color w:val="000000"/>
                <w:sz w:val="16"/>
                <w:szCs w:val="16"/>
                <w:lang w:eastAsia="en-GB"/>
              </w:rPr>
            </w:pPr>
          </w:p>
        </w:tc>
        <w:tc>
          <w:tcPr>
            <w:tcW w:w="0" w:type="auto"/>
            <w:vMerge/>
            <w:tcBorders>
              <w:top w:val="nil"/>
              <w:left w:val="single" w:sz="4" w:space="0" w:color="auto"/>
              <w:bottom w:val="single" w:sz="4" w:space="0" w:color="000000"/>
              <w:right w:val="single" w:sz="4" w:space="0" w:color="auto"/>
            </w:tcBorders>
            <w:vAlign w:val="center"/>
            <w:hideMark/>
          </w:tcPr>
          <w:p w:rsidR="002E67DE" w:rsidRDefault="002E67DE" w:rsidP="00A96C90">
            <w:pPr>
              <w:spacing w:after="0" w:line="240" w:lineRule="auto"/>
              <w:jc w:val="center"/>
              <w:rPr>
                <w:rFonts w:ascii="Times New Roman" w:eastAsia="Times New Roman" w:hAnsi="Times New Roman"/>
                <w:color w:val="000000"/>
                <w:sz w:val="16"/>
                <w:szCs w:val="16"/>
                <w:lang w:eastAsia="en-GB"/>
              </w:rPr>
            </w:pPr>
          </w:p>
        </w:tc>
        <w:tc>
          <w:tcPr>
            <w:tcW w:w="880" w:type="dxa"/>
            <w:vMerge/>
            <w:tcBorders>
              <w:top w:val="nil"/>
              <w:left w:val="single" w:sz="4" w:space="0" w:color="auto"/>
              <w:bottom w:val="single" w:sz="4" w:space="0" w:color="000000"/>
              <w:right w:val="single" w:sz="4" w:space="0" w:color="auto"/>
            </w:tcBorders>
            <w:vAlign w:val="center"/>
            <w:hideMark/>
          </w:tcPr>
          <w:p w:rsidR="002E67DE" w:rsidRDefault="002E67DE" w:rsidP="00A96C90">
            <w:pPr>
              <w:spacing w:after="0" w:line="240" w:lineRule="auto"/>
              <w:jc w:val="center"/>
              <w:rPr>
                <w:rFonts w:ascii="Times New Roman" w:eastAsia="Times New Roman" w:hAnsi="Times New Roman"/>
                <w:color w:val="000000"/>
                <w:sz w:val="16"/>
                <w:szCs w:val="16"/>
                <w:lang w:eastAsia="en-GB"/>
              </w:rPr>
            </w:pPr>
          </w:p>
        </w:tc>
        <w:tc>
          <w:tcPr>
            <w:tcW w:w="907" w:type="dxa"/>
            <w:vMerge/>
            <w:tcBorders>
              <w:top w:val="nil"/>
              <w:left w:val="single" w:sz="4" w:space="0" w:color="auto"/>
              <w:bottom w:val="single" w:sz="4" w:space="0" w:color="000000"/>
              <w:right w:val="single" w:sz="4" w:space="0" w:color="auto"/>
            </w:tcBorders>
            <w:vAlign w:val="center"/>
            <w:hideMark/>
          </w:tcPr>
          <w:p w:rsidR="002E67DE" w:rsidRDefault="002E67DE" w:rsidP="00A96C90">
            <w:pPr>
              <w:spacing w:after="0" w:line="240" w:lineRule="auto"/>
              <w:jc w:val="center"/>
              <w:rPr>
                <w:rFonts w:ascii="Times New Roman" w:eastAsia="Times New Roman" w:hAnsi="Times New Roman"/>
                <w:color w:val="000000"/>
                <w:sz w:val="16"/>
                <w:szCs w:val="16"/>
                <w:lang w:eastAsia="en-GB"/>
              </w:rPr>
            </w:pPr>
          </w:p>
        </w:tc>
        <w:tc>
          <w:tcPr>
            <w:tcW w:w="885" w:type="dxa"/>
            <w:vMerge/>
            <w:tcBorders>
              <w:top w:val="nil"/>
              <w:left w:val="single" w:sz="4" w:space="0" w:color="auto"/>
              <w:bottom w:val="single" w:sz="4" w:space="0" w:color="000000"/>
              <w:right w:val="single" w:sz="4" w:space="0" w:color="auto"/>
            </w:tcBorders>
            <w:vAlign w:val="center"/>
            <w:hideMark/>
          </w:tcPr>
          <w:p w:rsidR="002E67DE" w:rsidRDefault="002E67DE" w:rsidP="00A96C90">
            <w:pPr>
              <w:spacing w:after="0" w:line="240" w:lineRule="auto"/>
              <w:jc w:val="center"/>
              <w:rPr>
                <w:rFonts w:ascii="Times New Roman" w:eastAsia="Times New Roman" w:hAnsi="Times New Roman"/>
                <w:color w:val="000000"/>
                <w:sz w:val="16"/>
                <w:szCs w:val="16"/>
                <w:lang w:eastAsia="en-GB"/>
              </w:rPr>
            </w:pPr>
          </w:p>
        </w:tc>
        <w:tc>
          <w:tcPr>
            <w:tcW w:w="1701" w:type="dxa"/>
            <w:tcBorders>
              <w:top w:val="nil"/>
              <w:left w:val="nil"/>
              <w:bottom w:val="single" w:sz="4" w:space="0" w:color="auto"/>
              <w:right w:val="single" w:sz="4" w:space="0" w:color="auto"/>
            </w:tcBorders>
            <w:noWrap/>
            <w:vAlign w:val="center"/>
            <w:hideMark/>
          </w:tcPr>
          <w:p w:rsidR="002E67DE" w:rsidRDefault="002E67DE" w:rsidP="00A96C90">
            <w:pPr>
              <w:spacing w:after="0" w:line="240" w:lineRule="auto"/>
              <w:jc w:val="center"/>
              <w:rPr>
                <w:rFonts w:ascii="Times New Roman" w:eastAsia="Times New Roman" w:hAnsi="Times New Roman"/>
                <w:color w:val="000000"/>
                <w:sz w:val="16"/>
                <w:szCs w:val="16"/>
                <w:lang w:eastAsia="en-GB"/>
              </w:rPr>
            </w:pPr>
            <w:r>
              <w:rPr>
                <w:rFonts w:ascii="Times New Roman" w:eastAsia="Times New Roman" w:hAnsi="Times New Roman"/>
                <w:color w:val="000000"/>
                <w:sz w:val="16"/>
                <w:szCs w:val="16"/>
                <w:lang w:eastAsia="en-GB"/>
              </w:rPr>
              <w:t>Tot</w:t>
            </w:r>
            <w:r w:rsidR="00267377">
              <w:rPr>
                <w:rFonts w:ascii="Times New Roman" w:eastAsia="Times New Roman" w:hAnsi="Times New Roman"/>
                <w:color w:val="000000"/>
                <w:sz w:val="16"/>
                <w:szCs w:val="16"/>
                <w:lang w:eastAsia="en-GB"/>
              </w:rPr>
              <w:t xml:space="preserve">al Loss </w:t>
            </w:r>
            <w:r>
              <w:rPr>
                <w:rFonts w:ascii="Times New Roman" w:eastAsia="Times New Roman" w:hAnsi="Times New Roman"/>
                <w:color w:val="000000"/>
                <w:sz w:val="16"/>
                <w:szCs w:val="16"/>
                <w:lang w:eastAsia="en-GB"/>
              </w:rPr>
              <w:t>=  -23.24</w:t>
            </w:r>
          </w:p>
        </w:tc>
        <w:tc>
          <w:tcPr>
            <w:tcW w:w="1701" w:type="dxa"/>
            <w:tcBorders>
              <w:top w:val="nil"/>
              <w:left w:val="nil"/>
              <w:bottom w:val="single" w:sz="4" w:space="0" w:color="auto"/>
              <w:right w:val="single" w:sz="4" w:space="0" w:color="auto"/>
            </w:tcBorders>
            <w:noWrap/>
            <w:vAlign w:val="center"/>
            <w:hideMark/>
          </w:tcPr>
          <w:p w:rsidR="002E67DE" w:rsidRDefault="002E67DE" w:rsidP="00A96C90">
            <w:pPr>
              <w:spacing w:after="0" w:line="240" w:lineRule="auto"/>
              <w:jc w:val="center"/>
              <w:rPr>
                <w:rFonts w:ascii="Times New Roman" w:eastAsia="Times New Roman" w:hAnsi="Times New Roman"/>
                <w:color w:val="000000"/>
                <w:sz w:val="16"/>
                <w:szCs w:val="16"/>
                <w:lang w:eastAsia="en-GB"/>
              </w:rPr>
            </w:pPr>
            <w:r>
              <w:rPr>
                <w:rFonts w:ascii="Times New Roman" w:eastAsia="Times New Roman" w:hAnsi="Times New Roman"/>
                <w:color w:val="000000"/>
                <w:sz w:val="16"/>
                <w:szCs w:val="16"/>
                <w:lang w:eastAsia="en-GB"/>
              </w:rPr>
              <w:t>Tot</w:t>
            </w:r>
            <w:r w:rsidR="00267377">
              <w:rPr>
                <w:rFonts w:ascii="Times New Roman" w:eastAsia="Times New Roman" w:hAnsi="Times New Roman"/>
                <w:color w:val="000000"/>
                <w:sz w:val="16"/>
                <w:szCs w:val="16"/>
                <w:lang w:eastAsia="en-GB"/>
              </w:rPr>
              <w:t>al Loss</w:t>
            </w:r>
            <w:r>
              <w:rPr>
                <w:rFonts w:ascii="Times New Roman" w:eastAsia="Times New Roman" w:hAnsi="Times New Roman"/>
                <w:color w:val="000000"/>
                <w:sz w:val="16"/>
                <w:szCs w:val="16"/>
                <w:lang w:eastAsia="en-GB"/>
              </w:rPr>
              <w:t xml:space="preserve"> = -44.13</w:t>
            </w:r>
          </w:p>
        </w:tc>
        <w:tc>
          <w:tcPr>
            <w:tcW w:w="1843" w:type="dxa"/>
            <w:tcBorders>
              <w:top w:val="nil"/>
              <w:left w:val="nil"/>
              <w:bottom w:val="single" w:sz="4" w:space="0" w:color="auto"/>
              <w:right w:val="single" w:sz="4" w:space="0" w:color="auto"/>
            </w:tcBorders>
            <w:noWrap/>
            <w:vAlign w:val="center"/>
            <w:hideMark/>
          </w:tcPr>
          <w:p w:rsidR="002E67DE" w:rsidRDefault="002E67DE" w:rsidP="00A96C90">
            <w:pPr>
              <w:spacing w:after="0" w:line="240" w:lineRule="auto"/>
              <w:jc w:val="center"/>
              <w:rPr>
                <w:rFonts w:ascii="Times New Roman" w:eastAsia="Times New Roman" w:hAnsi="Times New Roman"/>
                <w:color w:val="000000"/>
                <w:sz w:val="16"/>
                <w:szCs w:val="16"/>
                <w:lang w:eastAsia="en-GB"/>
              </w:rPr>
            </w:pPr>
            <w:r>
              <w:rPr>
                <w:rFonts w:ascii="Times New Roman" w:eastAsia="Times New Roman" w:hAnsi="Times New Roman"/>
                <w:color w:val="000000"/>
                <w:sz w:val="16"/>
                <w:szCs w:val="16"/>
                <w:lang w:eastAsia="en-GB"/>
              </w:rPr>
              <w:t>Tot</w:t>
            </w:r>
            <w:r w:rsidR="00267377">
              <w:rPr>
                <w:rFonts w:ascii="Times New Roman" w:eastAsia="Times New Roman" w:hAnsi="Times New Roman"/>
                <w:color w:val="000000"/>
                <w:sz w:val="16"/>
                <w:szCs w:val="16"/>
                <w:lang w:eastAsia="en-GB"/>
              </w:rPr>
              <w:t>al Loss</w:t>
            </w:r>
            <w:r>
              <w:rPr>
                <w:rFonts w:ascii="Times New Roman" w:eastAsia="Times New Roman" w:hAnsi="Times New Roman"/>
                <w:color w:val="000000"/>
                <w:sz w:val="16"/>
                <w:szCs w:val="16"/>
                <w:lang w:eastAsia="en-GB"/>
              </w:rPr>
              <w:t xml:space="preserve"> = -89.81</w:t>
            </w:r>
          </w:p>
        </w:tc>
      </w:tr>
      <w:tr w:rsidR="002E67DE" w:rsidTr="00A96C90">
        <w:trPr>
          <w:trHeight w:val="915"/>
        </w:trPr>
        <w:tc>
          <w:tcPr>
            <w:tcW w:w="1323" w:type="dxa"/>
            <w:tcBorders>
              <w:top w:val="nil"/>
              <w:left w:val="single" w:sz="4" w:space="0" w:color="auto"/>
              <w:bottom w:val="single" w:sz="4" w:space="0" w:color="auto"/>
              <w:right w:val="single" w:sz="4" w:space="0" w:color="auto"/>
            </w:tcBorders>
            <w:vAlign w:val="bottom"/>
            <w:hideMark/>
          </w:tcPr>
          <w:p w:rsidR="00CF11D3" w:rsidRDefault="002E67DE" w:rsidP="00CF11D3">
            <w:pPr>
              <w:spacing w:after="0" w:line="240" w:lineRule="auto"/>
              <w:rPr>
                <w:rFonts w:ascii="Times New Roman" w:eastAsia="Times New Roman" w:hAnsi="Times New Roman"/>
                <w:color w:val="000000"/>
                <w:sz w:val="16"/>
                <w:szCs w:val="16"/>
                <w:lang w:eastAsia="en-GB"/>
              </w:rPr>
            </w:pPr>
            <w:r>
              <w:rPr>
                <w:rFonts w:ascii="Times New Roman" w:eastAsia="Times New Roman" w:hAnsi="Times New Roman"/>
                <w:color w:val="000000"/>
                <w:sz w:val="16"/>
                <w:szCs w:val="16"/>
                <w:lang w:eastAsia="en-GB"/>
              </w:rPr>
              <w:t xml:space="preserve"> </w:t>
            </w:r>
            <w:r w:rsidR="00CF11D3" w:rsidRPr="00CF11D3">
              <w:rPr>
                <w:rFonts w:ascii="Times New Roman" w:eastAsia="Times New Roman" w:hAnsi="Times New Roman"/>
                <w:b/>
                <w:color w:val="000000"/>
                <w:sz w:val="16"/>
                <w:szCs w:val="16"/>
                <w:lang w:eastAsia="en-GB"/>
              </w:rPr>
              <w:t>4</w:t>
            </w:r>
            <w:r>
              <w:rPr>
                <w:rFonts w:ascii="Times New Roman" w:eastAsia="Times New Roman" w:hAnsi="Times New Roman"/>
                <w:b/>
                <w:bCs/>
                <w:color w:val="000000"/>
                <w:sz w:val="16"/>
                <w:szCs w:val="16"/>
                <w:lang w:eastAsia="en-GB"/>
              </w:rPr>
              <w:t>.</w:t>
            </w:r>
            <w:r>
              <w:rPr>
                <w:rFonts w:ascii="Times New Roman" w:eastAsia="Times New Roman" w:hAnsi="Times New Roman"/>
                <w:color w:val="000000"/>
                <w:sz w:val="16"/>
                <w:szCs w:val="16"/>
                <w:lang w:eastAsia="en-GB"/>
              </w:rPr>
              <w:t xml:space="preserve">Gross Capital Savings  at Quarter End </w:t>
            </w:r>
          </w:p>
          <w:p w:rsidR="002E67DE" w:rsidRDefault="002E67DE" w:rsidP="00CF11D3">
            <w:pPr>
              <w:spacing w:after="0" w:line="240" w:lineRule="auto"/>
              <w:rPr>
                <w:rFonts w:ascii="Times New Roman" w:eastAsia="Times New Roman" w:hAnsi="Times New Roman"/>
                <w:color w:val="000000"/>
                <w:sz w:val="16"/>
                <w:szCs w:val="16"/>
                <w:lang w:eastAsia="en-GB"/>
              </w:rPr>
            </w:pPr>
            <w:r>
              <w:rPr>
                <w:rFonts w:ascii="Times New Roman" w:eastAsia="Times New Roman" w:hAnsi="Times New Roman"/>
                <w:color w:val="000000"/>
                <w:sz w:val="16"/>
                <w:szCs w:val="16"/>
                <w:lang w:eastAsia="en-GB"/>
              </w:rPr>
              <w:t xml:space="preserve"> </w:t>
            </w:r>
          </w:p>
        </w:tc>
        <w:tc>
          <w:tcPr>
            <w:tcW w:w="840" w:type="dxa"/>
            <w:tcBorders>
              <w:top w:val="nil"/>
              <w:left w:val="nil"/>
              <w:bottom w:val="single" w:sz="4" w:space="0" w:color="auto"/>
              <w:right w:val="single" w:sz="4" w:space="0" w:color="auto"/>
            </w:tcBorders>
            <w:noWrap/>
            <w:vAlign w:val="center"/>
            <w:hideMark/>
          </w:tcPr>
          <w:p w:rsidR="002E67DE" w:rsidRDefault="002E67DE" w:rsidP="00A96C90">
            <w:pPr>
              <w:spacing w:after="0" w:line="240" w:lineRule="auto"/>
              <w:jc w:val="center"/>
              <w:rPr>
                <w:rFonts w:ascii="Times New Roman" w:eastAsia="Times New Roman" w:hAnsi="Times New Roman"/>
                <w:color w:val="000000"/>
                <w:sz w:val="16"/>
                <w:szCs w:val="16"/>
                <w:lang w:eastAsia="en-GB"/>
              </w:rPr>
            </w:pPr>
            <w:r>
              <w:rPr>
                <w:rFonts w:ascii="Times New Roman" w:eastAsia="Times New Roman" w:hAnsi="Times New Roman"/>
                <w:color w:val="000000"/>
                <w:sz w:val="16"/>
                <w:szCs w:val="16"/>
                <w:lang w:eastAsia="en-GB"/>
              </w:rPr>
              <w:t>20.238</w:t>
            </w:r>
            <w:r w:rsidR="00C87EA4" w:rsidRPr="00D126D3">
              <w:rPr>
                <w:rStyle w:val="FootnoteReference"/>
                <w:rFonts w:ascii="Times New Roman" w:eastAsia="Times New Roman" w:hAnsi="Times New Roman"/>
                <w:color w:val="000000"/>
                <w:lang w:eastAsia="en-GB"/>
              </w:rPr>
              <w:footnoteReference w:id="20"/>
            </w:r>
          </w:p>
          <w:p w:rsidR="00CF11D3" w:rsidRDefault="00CF11D3" w:rsidP="00A96C90">
            <w:pPr>
              <w:spacing w:after="0" w:line="240" w:lineRule="auto"/>
              <w:jc w:val="center"/>
              <w:rPr>
                <w:rFonts w:ascii="Times New Roman" w:eastAsia="Times New Roman" w:hAnsi="Times New Roman"/>
                <w:color w:val="000000"/>
                <w:sz w:val="16"/>
                <w:szCs w:val="16"/>
                <w:lang w:eastAsia="en-GB"/>
              </w:rPr>
            </w:pPr>
          </w:p>
        </w:tc>
        <w:tc>
          <w:tcPr>
            <w:tcW w:w="880" w:type="dxa"/>
            <w:tcBorders>
              <w:top w:val="nil"/>
              <w:left w:val="nil"/>
              <w:bottom w:val="single" w:sz="4" w:space="0" w:color="auto"/>
              <w:right w:val="single" w:sz="4" w:space="0" w:color="auto"/>
            </w:tcBorders>
            <w:noWrap/>
            <w:vAlign w:val="center"/>
            <w:hideMark/>
          </w:tcPr>
          <w:p w:rsidR="002E67DE" w:rsidRDefault="002E67DE" w:rsidP="00A96C90">
            <w:pPr>
              <w:spacing w:after="0" w:line="240" w:lineRule="auto"/>
              <w:jc w:val="center"/>
              <w:rPr>
                <w:rFonts w:ascii="Times New Roman" w:eastAsia="Times New Roman" w:hAnsi="Times New Roman"/>
                <w:color w:val="000000"/>
                <w:sz w:val="16"/>
                <w:szCs w:val="16"/>
                <w:lang w:eastAsia="en-GB"/>
              </w:rPr>
            </w:pPr>
            <w:r>
              <w:rPr>
                <w:rFonts w:ascii="Times New Roman" w:eastAsia="Times New Roman" w:hAnsi="Times New Roman"/>
                <w:color w:val="000000"/>
                <w:sz w:val="16"/>
                <w:szCs w:val="16"/>
                <w:lang w:eastAsia="en-GB"/>
              </w:rPr>
              <w:t>0.680</w:t>
            </w:r>
          </w:p>
          <w:p w:rsidR="00CF11D3" w:rsidRDefault="00CF11D3" w:rsidP="00A96C90">
            <w:pPr>
              <w:spacing w:after="0" w:line="240" w:lineRule="auto"/>
              <w:jc w:val="center"/>
              <w:rPr>
                <w:rFonts w:ascii="Times New Roman" w:eastAsia="Times New Roman" w:hAnsi="Times New Roman"/>
                <w:color w:val="000000"/>
                <w:sz w:val="16"/>
                <w:szCs w:val="16"/>
                <w:lang w:eastAsia="en-GB"/>
              </w:rPr>
            </w:pPr>
          </w:p>
        </w:tc>
        <w:tc>
          <w:tcPr>
            <w:tcW w:w="907" w:type="dxa"/>
            <w:tcBorders>
              <w:top w:val="nil"/>
              <w:left w:val="nil"/>
              <w:bottom w:val="single" w:sz="4" w:space="0" w:color="auto"/>
              <w:right w:val="single" w:sz="4" w:space="0" w:color="auto"/>
            </w:tcBorders>
            <w:noWrap/>
            <w:vAlign w:val="center"/>
            <w:hideMark/>
          </w:tcPr>
          <w:p w:rsidR="002E67DE" w:rsidRDefault="002E67DE" w:rsidP="00A96C90">
            <w:pPr>
              <w:spacing w:after="0" w:line="240" w:lineRule="auto"/>
              <w:jc w:val="center"/>
              <w:rPr>
                <w:rFonts w:ascii="Times New Roman" w:eastAsia="Times New Roman" w:hAnsi="Times New Roman"/>
                <w:color w:val="000000"/>
                <w:sz w:val="16"/>
                <w:szCs w:val="16"/>
                <w:lang w:eastAsia="en-GB"/>
              </w:rPr>
            </w:pPr>
            <w:r>
              <w:rPr>
                <w:rFonts w:ascii="Times New Roman" w:eastAsia="Times New Roman" w:hAnsi="Times New Roman"/>
                <w:color w:val="000000"/>
                <w:sz w:val="16"/>
                <w:szCs w:val="16"/>
                <w:lang w:eastAsia="en-GB"/>
              </w:rPr>
              <w:t>0.02</w:t>
            </w:r>
            <w:r w:rsidR="004004DD">
              <w:rPr>
                <w:rFonts w:ascii="Times New Roman" w:eastAsia="Times New Roman" w:hAnsi="Times New Roman"/>
                <w:color w:val="000000"/>
                <w:sz w:val="16"/>
                <w:szCs w:val="16"/>
                <w:lang w:eastAsia="en-GB"/>
              </w:rPr>
              <w:t>3</w:t>
            </w:r>
          </w:p>
          <w:p w:rsidR="00CF11D3" w:rsidRDefault="00CF11D3" w:rsidP="00A96C90">
            <w:pPr>
              <w:spacing w:after="0" w:line="240" w:lineRule="auto"/>
              <w:jc w:val="center"/>
              <w:rPr>
                <w:rFonts w:ascii="Times New Roman" w:eastAsia="Times New Roman" w:hAnsi="Times New Roman"/>
                <w:color w:val="000000"/>
                <w:sz w:val="16"/>
                <w:szCs w:val="16"/>
                <w:lang w:eastAsia="en-GB"/>
              </w:rPr>
            </w:pPr>
          </w:p>
        </w:tc>
        <w:tc>
          <w:tcPr>
            <w:tcW w:w="885" w:type="dxa"/>
            <w:tcBorders>
              <w:top w:val="nil"/>
              <w:left w:val="nil"/>
              <w:bottom w:val="single" w:sz="4" w:space="0" w:color="auto"/>
              <w:right w:val="single" w:sz="4" w:space="0" w:color="auto"/>
            </w:tcBorders>
            <w:noWrap/>
            <w:vAlign w:val="center"/>
            <w:hideMark/>
          </w:tcPr>
          <w:p w:rsidR="002E67DE" w:rsidRDefault="002E67DE" w:rsidP="00A96C90">
            <w:pPr>
              <w:spacing w:after="0" w:line="240" w:lineRule="auto"/>
              <w:jc w:val="center"/>
              <w:rPr>
                <w:rFonts w:ascii="Times New Roman" w:eastAsia="Times New Roman" w:hAnsi="Times New Roman"/>
                <w:color w:val="000000"/>
                <w:sz w:val="16"/>
                <w:szCs w:val="16"/>
                <w:lang w:eastAsia="en-GB"/>
              </w:rPr>
            </w:pPr>
            <w:r>
              <w:rPr>
                <w:rFonts w:ascii="Times New Roman" w:eastAsia="Times New Roman" w:hAnsi="Times New Roman"/>
                <w:color w:val="000000"/>
                <w:sz w:val="16"/>
                <w:szCs w:val="16"/>
                <w:lang w:eastAsia="en-GB"/>
              </w:rPr>
              <w:t>0.000</w:t>
            </w:r>
            <w:r w:rsidR="004004DD">
              <w:rPr>
                <w:rFonts w:ascii="Times New Roman" w:eastAsia="Times New Roman" w:hAnsi="Times New Roman"/>
                <w:color w:val="000000"/>
                <w:sz w:val="16"/>
                <w:szCs w:val="16"/>
                <w:lang w:eastAsia="en-GB"/>
              </w:rPr>
              <w:t>8</w:t>
            </w:r>
          </w:p>
          <w:p w:rsidR="00CF11D3" w:rsidRDefault="00CF11D3" w:rsidP="00A96C90">
            <w:pPr>
              <w:spacing w:after="0" w:line="240" w:lineRule="auto"/>
              <w:jc w:val="center"/>
              <w:rPr>
                <w:rFonts w:ascii="Times New Roman" w:eastAsia="Times New Roman" w:hAnsi="Times New Roman"/>
                <w:color w:val="000000"/>
                <w:sz w:val="16"/>
                <w:szCs w:val="16"/>
                <w:lang w:eastAsia="en-GB"/>
              </w:rPr>
            </w:pPr>
          </w:p>
        </w:tc>
        <w:tc>
          <w:tcPr>
            <w:tcW w:w="1701" w:type="dxa"/>
            <w:tcBorders>
              <w:top w:val="nil"/>
              <w:left w:val="nil"/>
              <w:bottom w:val="single" w:sz="4" w:space="0" w:color="auto"/>
              <w:right w:val="single" w:sz="4" w:space="0" w:color="auto"/>
            </w:tcBorders>
            <w:noWrap/>
            <w:vAlign w:val="center"/>
            <w:hideMark/>
          </w:tcPr>
          <w:p w:rsidR="002E67DE" w:rsidRDefault="002E67DE" w:rsidP="00A96C90">
            <w:pPr>
              <w:spacing w:after="0" w:line="240" w:lineRule="auto"/>
              <w:jc w:val="center"/>
              <w:rPr>
                <w:rFonts w:ascii="Times New Roman" w:eastAsia="Times New Roman" w:hAnsi="Times New Roman"/>
                <w:color w:val="000000"/>
                <w:sz w:val="16"/>
                <w:szCs w:val="16"/>
                <w:lang w:eastAsia="en-GB"/>
              </w:rPr>
            </w:pPr>
            <w:r>
              <w:rPr>
                <w:rFonts w:ascii="Times New Roman" w:eastAsia="Times New Roman" w:hAnsi="Times New Roman"/>
                <w:color w:val="000000"/>
                <w:sz w:val="16"/>
                <w:szCs w:val="16"/>
                <w:lang w:eastAsia="en-GB"/>
              </w:rPr>
              <w:t>0</w:t>
            </w:r>
          </w:p>
          <w:p w:rsidR="00CF11D3" w:rsidRDefault="00CF11D3" w:rsidP="00A96C90">
            <w:pPr>
              <w:spacing w:after="0" w:line="240" w:lineRule="auto"/>
              <w:jc w:val="center"/>
              <w:rPr>
                <w:rFonts w:ascii="Times New Roman" w:eastAsia="Times New Roman" w:hAnsi="Times New Roman"/>
                <w:color w:val="000000"/>
                <w:sz w:val="16"/>
                <w:szCs w:val="16"/>
                <w:lang w:eastAsia="en-GB"/>
              </w:rPr>
            </w:pPr>
          </w:p>
        </w:tc>
        <w:tc>
          <w:tcPr>
            <w:tcW w:w="1701" w:type="dxa"/>
            <w:tcBorders>
              <w:top w:val="nil"/>
              <w:left w:val="nil"/>
              <w:bottom w:val="single" w:sz="4" w:space="0" w:color="auto"/>
              <w:right w:val="single" w:sz="4" w:space="0" w:color="auto"/>
            </w:tcBorders>
            <w:noWrap/>
            <w:vAlign w:val="center"/>
            <w:hideMark/>
          </w:tcPr>
          <w:p w:rsidR="002E67DE" w:rsidRDefault="002E67DE" w:rsidP="00A96C90">
            <w:pPr>
              <w:spacing w:after="0" w:line="240" w:lineRule="auto"/>
              <w:jc w:val="center"/>
              <w:rPr>
                <w:rFonts w:ascii="Times New Roman" w:eastAsia="Times New Roman" w:hAnsi="Times New Roman"/>
                <w:color w:val="000000"/>
                <w:sz w:val="16"/>
                <w:szCs w:val="16"/>
                <w:lang w:eastAsia="en-GB"/>
              </w:rPr>
            </w:pPr>
            <w:r>
              <w:rPr>
                <w:rFonts w:ascii="Times New Roman" w:eastAsia="Times New Roman" w:hAnsi="Times New Roman"/>
                <w:color w:val="000000"/>
                <w:sz w:val="16"/>
                <w:szCs w:val="16"/>
                <w:lang w:eastAsia="en-GB"/>
              </w:rPr>
              <w:t>0</w:t>
            </w:r>
          </w:p>
          <w:p w:rsidR="00CF11D3" w:rsidRDefault="00CF11D3" w:rsidP="00A96C90">
            <w:pPr>
              <w:spacing w:after="0" w:line="240" w:lineRule="auto"/>
              <w:jc w:val="center"/>
              <w:rPr>
                <w:rFonts w:ascii="Times New Roman" w:eastAsia="Times New Roman" w:hAnsi="Times New Roman"/>
                <w:color w:val="000000"/>
                <w:sz w:val="16"/>
                <w:szCs w:val="16"/>
                <w:lang w:eastAsia="en-GB"/>
              </w:rPr>
            </w:pPr>
          </w:p>
        </w:tc>
        <w:tc>
          <w:tcPr>
            <w:tcW w:w="1843" w:type="dxa"/>
            <w:tcBorders>
              <w:top w:val="nil"/>
              <w:left w:val="nil"/>
              <w:bottom w:val="single" w:sz="4" w:space="0" w:color="auto"/>
              <w:right w:val="single" w:sz="4" w:space="0" w:color="auto"/>
            </w:tcBorders>
            <w:noWrap/>
            <w:vAlign w:val="center"/>
            <w:hideMark/>
          </w:tcPr>
          <w:p w:rsidR="002E67DE" w:rsidRDefault="002E67DE" w:rsidP="00A96C90">
            <w:pPr>
              <w:spacing w:after="0" w:line="240" w:lineRule="auto"/>
              <w:jc w:val="center"/>
              <w:rPr>
                <w:rFonts w:ascii="Times New Roman" w:eastAsia="Times New Roman" w:hAnsi="Times New Roman"/>
                <w:color w:val="000000"/>
                <w:sz w:val="16"/>
                <w:szCs w:val="16"/>
                <w:lang w:eastAsia="en-GB"/>
              </w:rPr>
            </w:pPr>
            <w:r>
              <w:rPr>
                <w:rFonts w:ascii="Times New Roman" w:eastAsia="Times New Roman" w:hAnsi="Times New Roman"/>
                <w:color w:val="000000"/>
                <w:sz w:val="16"/>
                <w:szCs w:val="16"/>
                <w:lang w:eastAsia="en-GB"/>
              </w:rPr>
              <w:t>0</w:t>
            </w:r>
          </w:p>
          <w:p w:rsidR="00CF11D3" w:rsidRDefault="00CF11D3" w:rsidP="00A96C90">
            <w:pPr>
              <w:spacing w:after="0" w:line="240" w:lineRule="auto"/>
              <w:jc w:val="center"/>
              <w:rPr>
                <w:rFonts w:ascii="Times New Roman" w:eastAsia="Times New Roman" w:hAnsi="Times New Roman"/>
                <w:color w:val="000000"/>
                <w:sz w:val="16"/>
                <w:szCs w:val="16"/>
                <w:lang w:eastAsia="en-GB"/>
              </w:rPr>
            </w:pPr>
          </w:p>
        </w:tc>
      </w:tr>
      <w:tr w:rsidR="002E67DE" w:rsidTr="00A96C90">
        <w:trPr>
          <w:trHeight w:val="796"/>
        </w:trPr>
        <w:tc>
          <w:tcPr>
            <w:tcW w:w="1323" w:type="dxa"/>
            <w:tcBorders>
              <w:top w:val="single" w:sz="4" w:space="0" w:color="auto"/>
              <w:left w:val="single" w:sz="4" w:space="0" w:color="auto"/>
              <w:bottom w:val="single" w:sz="4" w:space="0" w:color="auto"/>
              <w:right w:val="single" w:sz="4" w:space="0" w:color="auto"/>
            </w:tcBorders>
            <w:vAlign w:val="bottom"/>
            <w:hideMark/>
          </w:tcPr>
          <w:p w:rsidR="002E67DE" w:rsidRDefault="00CF11D3">
            <w:pPr>
              <w:spacing w:after="0" w:line="240" w:lineRule="auto"/>
              <w:rPr>
                <w:rFonts w:ascii="Times New Roman" w:eastAsia="Times New Roman" w:hAnsi="Times New Roman"/>
                <w:color w:val="000000"/>
                <w:sz w:val="16"/>
                <w:szCs w:val="16"/>
                <w:lang w:eastAsia="en-GB"/>
              </w:rPr>
            </w:pPr>
            <w:r>
              <w:rPr>
                <w:rFonts w:ascii="Times New Roman" w:eastAsia="Times New Roman" w:hAnsi="Times New Roman"/>
                <w:b/>
                <w:bCs/>
                <w:color w:val="000000"/>
                <w:sz w:val="16"/>
                <w:szCs w:val="16"/>
                <w:lang w:eastAsia="en-GB"/>
              </w:rPr>
              <w:lastRenderedPageBreak/>
              <w:t>5</w:t>
            </w:r>
            <w:r w:rsidR="002E67DE">
              <w:rPr>
                <w:rFonts w:ascii="Times New Roman" w:eastAsia="Times New Roman" w:hAnsi="Times New Roman"/>
                <w:b/>
                <w:bCs/>
                <w:color w:val="000000"/>
                <w:sz w:val="16"/>
                <w:szCs w:val="16"/>
                <w:lang w:eastAsia="en-GB"/>
              </w:rPr>
              <w:t>.</w:t>
            </w:r>
            <w:r w:rsidR="002E67DE">
              <w:rPr>
                <w:rFonts w:ascii="Times New Roman" w:eastAsia="Times New Roman" w:hAnsi="Times New Roman"/>
                <w:color w:val="000000"/>
                <w:sz w:val="16"/>
                <w:szCs w:val="16"/>
                <w:lang w:eastAsia="en-GB"/>
              </w:rPr>
              <w:t xml:space="preserve">Profit </w:t>
            </w:r>
            <w:proofErr w:type="spellStart"/>
            <w:r w:rsidR="002E67DE">
              <w:rPr>
                <w:rFonts w:ascii="Times New Roman" w:eastAsia="Times New Roman" w:hAnsi="Times New Roman"/>
                <w:color w:val="000000"/>
                <w:sz w:val="16"/>
                <w:szCs w:val="16"/>
                <w:lang w:eastAsia="en-GB"/>
              </w:rPr>
              <w:t>Nega</w:t>
            </w:r>
            <w:proofErr w:type="spellEnd"/>
            <w:r w:rsidR="002E67DE">
              <w:rPr>
                <w:rFonts w:ascii="Times New Roman" w:eastAsia="Times New Roman" w:hAnsi="Times New Roman"/>
                <w:color w:val="000000"/>
                <w:sz w:val="16"/>
                <w:szCs w:val="16"/>
                <w:lang w:eastAsia="en-GB"/>
              </w:rPr>
              <w:t xml:space="preserve">- </w:t>
            </w:r>
            <w:proofErr w:type="spellStart"/>
            <w:r w:rsidR="002E67DE">
              <w:rPr>
                <w:rFonts w:ascii="Times New Roman" w:eastAsia="Times New Roman" w:hAnsi="Times New Roman"/>
                <w:color w:val="000000"/>
                <w:sz w:val="16"/>
                <w:szCs w:val="16"/>
                <w:lang w:eastAsia="en-GB"/>
              </w:rPr>
              <w:t>tive</w:t>
            </w:r>
            <w:proofErr w:type="spellEnd"/>
            <w:r w:rsidR="002E67DE">
              <w:rPr>
                <w:rFonts w:ascii="Times New Roman" w:eastAsia="Times New Roman" w:hAnsi="Times New Roman"/>
                <w:color w:val="000000"/>
                <w:sz w:val="16"/>
                <w:szCs w:val="16"/>
                <w:lang w:eastAsia="en-GB"/>
              </w:rPr>
              <w:t xml:space="preserve"> CDS-Basis   Unleveraged</w:t>
            </w:r>
          </w:p>
          <w:p w:rsidR="00545E56" w:rsidRDefault="00545E56">
            <w:pPr>
              <w:spacing w:after="0" w:line="240" w:lineRule="auto"/>
              <w:rPr>
                <w:rFonts w:ascii="Times New Roman" w:eastAsia="Times New Roman" w:hAnsi="Times New Roman"/>
                <w:b/>
                <w:bCs/>
                <w:color w:val="000000"/>
                <w:sz w:val="16"/>
                <w:szCs w:val="16"/>
                <w:lang w:eastAsia="en-GB"/>
              </w:rPr>
            </w:pPr>
            <w:r>
              <w:rPr>
                <w:rFonts w:ascii="Times New Roman" w:eastAsia="Times New Roman" w:hAnsi="Times New Roman"/>
                <w:color w:val="000000"/>
                <w:sz w:val="16"/>
                <w:szCs w:val="16"/>
                <w:lang w:eastAsia="en-GB"/>
              </w:rPr>
              <w:t xml:space="preserve">Leveraged </w:t>
            </w:r>
            <w:r w:rsidR="00813E95">
              <w:rPr>
                <w:rFonts w:ascii="Times New Roman" w:eastAsia="Times New Roman" w:hAnsi="Times New Roman"/>
                <w:color w:val="000000"/>
                <w:sz w:val="16"/>
                <w:szCs w:val="16"/>
                <w:lang w:eastAsia="en-GB"/>
              </w:rPr>
              <w:t>(#)</w:t>
            </w:r>
          </w:p>
        </w:tc>
        <w:tc>
          <w:tcPr>
            <w:tcW w:w="840" w:type="dxa"/>
            <w:tcBorders>
              <w:top w:val="single" w:sz="4" w:space="0" w:color="auto"/>
              <w:left w:val="nil"/>
              <w:bottom w:val="single" w:sz="4" w:space="0" w:color="auto"/>
              <w:right w:val="single" w:sz="4" w:space="0" w:color="auto"/>
            </w:tcBorders>
            <w:noWrap/>
            <w:vAlign w:val="center"/>
            <w:hideMark/>
          </w:tcPr>
          <w:p w:rsidR="002E67DE" w:rsidRDefault="00545E56" w:rsidP="00A96C90">
            <w:pPr>
              <w:spacing w:after="0" w:line="240" w:lineRule="auto"/>
              <w:jc w:val="center"/>
              <w:rPr>
                <w:rFonts w:eastAsia="Times New Roman" w:cs="Calibri"/>
                <w:color w:val="000000"/>
                <w:sz w:val="16"/>
                <w:szCs w:val="16"/>
                <w:lang w:eastAsia="en-GB"/>
              </w:rPr>
            </w:pPr>
            <w:r>
              <w:rPr>
                <w:rFonts w:eastAsia="Times New Roman" w:cs="Calibri"/>
                <w:color w:val="000000"/>
                <w:sz w:val="16"/>
                <w:szCs w:val="16"/>
                <w:lang w:eastAsia="en-GB"/>
              </w:rPr>
              <w:t>N.A</w:t>
            </w:r>
          </w:p>
        </w:tc>
        <w:tc>
          <w:tcPr>
            <w:tcW w:w="880" w:type="dxa"/>
            <w:tcBorders>
              <w:top w:val="single" w:sz="4" w:space="0" w:color="auto"/>
              <w:left w:val="nil"/>
              <w:bottom w:val="single" w:sz="4" w:space="0" w:color="auto"/>
              <w:right w:val="single" w:sz="4" w:space="0" w:color="auto"/>
            </w:tcBorders>
            <w:noWrap/>
            <w:vAlign w:val="center"/>
            <w:hideMark/>
          </w:tcPr>
          <w:p w:rsidR="002E67DE" w:rsidRDefault="002E67DE" w:rsidP="00A96C90">
            <w:pPr>
              <w:spacing w:after="0" w:line="240" w:lineRule="auto"/>
              <w:jc w:val="center"/>
              <w:rPr>
                <w:rFonts w:ascii="Times New Roman" w:eastAsia="Times New Roman" w:hAnsi="Times New Roman"/>
                <w:color w:val="000000"/>
                <w:sz w:val="16"/>
                <w:szCs w:val="16"/>
                <w:lang w:eastAsia="en-GB"/>
              </w:rPr>
            </w:pPr>
            <w:r>
              <w:rPr>
                <w:rFonts w:ascii="Times New Roman" w:eastAsia="Times New Roman" w:hAnsi="Times New Roman"/>
                <w:color w:val="000000"/>
                <w:sz w:val="16"/>
                <w:szCs w:val="16"/>
                <w:lang w:eastAsia="en-GB"/>
              </w:rPr>
              <w:t>0.279</w:t>
            </w:r>
          </w:p>
          <w:p w:rsidR="00545E56" w:rsidRDefault="00545E56" w:rsidP="00A96C90">
            <w:pPr>
              <w:spacing w:after="0" w:line="240" w:lineRule="auto"/>
              <w:jc w:val="center"/>
              <w:rPr>
                <w:rFonts w:ascii="Times New Roman" w:eastAsia="Times New Roman" w:hAnsi="Times New Roman"/>
                <w:color w:val="000000"/>
                <w:sz w:val="16"/>
                <w:szCs w:val="16"/>
                <w:lang w:eastAsia="en-GB"/>
              </w:rPr>
            </w:pPr>
            <w:r>
              <w:rPr>
                <w:rFonts w:eastAsia="Times New Roman" w:cs="Calibri"/>
                <w:sz w:val="16"/>
                <w:szCs w:val="16"/>
                <w:lang w:eastAsia="en-GB"/>
              </w:rPr>
              <w:t>8.312</w:t>
            </w:r>
            <w:r w:rsidRPr="00D126D3">
              <w:rPr>
                <w:rStyle w:val="FootnoteReference"/>
                <w:rFonts w:ascii="Times New Roman" w:eastAsia="Times New Roman" w:hAnsi="Times New Roman"/>
                <w:color w:val="000000"/>
                <w:lang w:eastAsia="en-GB"/>
              </w:rPr>
              <w:footnoteReference w:id="21"/>
            </w:r>
            <w:r w:rsidR="00813E95">
              <w:rPr>
                <w:rFonts w:eastAsia="Times New Roman" w:cs="Calibri"/>
                <w:sz w:val="16"/>
                <w:szCs w:val="16"/>
                <w:lang w:eastAsia="en-GB"/>
              </w:rPr>
              <w:t>(#)</w:t>
            </w:r>
          </w:p>
        </w:tc>
        <w:tc>
          <w:tcPr>
            <w:tcW w:w="907" w:type="dxa"/>
            <w:tcBorders>
              <w:top w:val="single" w:sz="4" w:space="0" w:color="auto"/>
              <w:left w:val="nil"/>
              <w:bottom w:val="single" w:sz="4" w:space="0" w:color="auto"/>
              <w:right w:val="single" w:sz="4" w:space="0" w:color="auto"/>
            </w:tcBorders>
            <w:noWrap/>
            <w:vAlign w:val="center"/>
            <w:hideMark/>
          </w:tcPr>
          <w:p w:rsidR="002E67DE" w:rsidRDefault="002E67DE" w:rsidP="00A96C90">
            <w:pPr>
              <w:spacing w:after="0" w:line="240" w:lineRule="auto"/>
              <w:jc w:val="center"/>
              <w:rPr>
                <w:rFonts w:ascii="Times New Roman" w:eastAsia="Times New Roman" w:hAnsi="Times New Roman"/>
                <w:color w:val="000000"/>
                <w:sz w:val="16"/>
                <w:szCs w:val="16"/>
                <w:lang w:eastAsia="en-GB"/>
              </w:rPr>
            </w:pPr>
            <w:r>
              <w:rPr>
                <w:rFonts w:ascii="Times New Roman" w:eastAsia="Times New Roman" w:hAnsi="Times New Roman"/>
                <w:color w:val="000000"/>
                <w:sz w:val="16"/>
                <w:szCs w:val="16"/>
                <w:lang w:eastAsia="en-GB"/>
              </w:rPr>
              <w:t>0.0064</w:t>
            </w:r>
          </w:p>
          <w:p w:rsidR="00545E56" w:rsidRDefault="00545E56" w:rsidP="00A96C90">
            <w:pPr>
              <w:spacing w:after="0" w:line="240" w:lineRule="auto"/>
              <w:jc w:val="center"/>
              <w:rPr>
                <w:rFonts w:ascii="Times New Roman" w:eastAsia="Times New Roman" w:hAnsi="Times New Roman"/>
                <w:color w:val="000000"/>
                <w:sz w:val="16"/>
                <w:szCs w:val="16"/>
                <w:lang w:eastAsia="en-GB"/>
              </w:rPr>
            </w:pPr>
            <w:r>
              <w:rPr>
                <w:rFonts w:eastAsia="Times New Roman" w:cs="Calibri"/>
                <w:color w:val="000000"/>
                <w:sz w:val="16"/>
                <w:szCs w:val="16"/>
                <w:lang w:eastAsia="en-GB"/>
              </w:rPr>
              <w:t>1.503</w:t>
            </w:r>
            <w:r w:rsidR="00813E95">
              <w:rPr>
                <w:rFonts w:eastAsia="Times New Roman" w:cs="Calibri"/>
                <w:color w:val="000000"/>
                <w:sz w:val="16"/>
                <w:szCs w:val="16"/>
                <w:lang w:eastAsia="en-GB"/>
              </w:rPr>
              <w:t>(#)</w:t>
            </w:r>
          </w:p>
        </w:tc>
        <w:tc>
          <w:tcPr>
            <w:tcW w:w="885" w:type="dxa"/>
            <w:tcBorders>
              <w:top w:val="single" w:sz="4" w:space="0" w:color="auto"/>
              <w:left w:val="nil"/>
              <w:bottom w:val="single" w:sz="4" w:space="0" w:color="auto"/>
              <w:right w:val="single" w:sz="4" w:space="0" w:color="auto"/>
            </w:tcBorders>
            <w:noWrap/>
            <w:vAlign w:val="center"/>
            <w:hideMark/>
          </w:tcPr>
          <w:p w:rsidR="002E67DE" w:rsidRDefault="002E67DE" w:rsidP="00A96C90">
            <w:pPr>
              <w:spacing w:after="0" w:line="240" w:lineRule="auto"/>
              <w:jc w:val="center"/>
              <w:rPr>
                <w:rFonts w:ascii="Times New Roman" w:eastAsia="Times New Roman" w:hAnsi="Times New Roman"/>
                <w:color w:val="000000"/>
                <w:sz w:val="16"/>
                <w:szCs w:val="16"/>
                <w:lang w:eastAsia="en-GB"/>
              </w:rPr>
            </w:pPr>
            <w:r>
              <w:rPr>
                <w:rFonts w:ascii="Times New Roman" w:eastAsia="Times New Roman" w:hAnsi="Times New Roman"/>
                <w:color w:val="000000"/>
                <w:sz w:val="16"/>
                <w:szCs w:val="16"/>
                <w:lang w:eastAsia="en-GB"/>
              </w:rPr>
              <w:t>0.000</w:t>
            </w:r>
            <w:r w:rsidR="003E0BF4">
              <w:rPr>
                <w:rFonts w:ascii="Times New Roman" w:eastAsia="Times New Roman" w:hAnsi="Times New Roman"/>
                <w:color w:val="000000"/>
                <w:sz w:val="16"/>
                <w:szCs w:val="16"/>
                <w:lang w:eastAsia="en-GB"/>
              </w:rPr>
              <w:t>2</w:t>
            </w:r>
          </w:p>
          <w:p w:rsidR="00545E56" w:rsidRDefault="00545E56" w:rsidP="00A96C90">
            <w:pPr>
              <w:spacing w:after="0" w:line="240" w:lineRule="auto"/>
              <w:jc w:val="center"/>
              <w:rPr>
                <w:rFonts w:ascii="Times New Roman" w:eastAsia="Times New Roman" w:hAnsi="Times New Roman"/>
                <w:color w:val="000000"/>
                <w:sz w:val="16"/>
                <w:szCs w:val="16"/>
                <w:lang w:eastAsia="en-GB"/>
              </w:rPr>
            </w:pPr>
            <w:r>
              <w:rPr>
                <w:rFonts w:ascii="Times New Roman" w:eastAsia="Times New Roman" w:hAnsi="Times New Roman"/>
                <w:color w:val="000000"/>
                <w:sz w:val="16"/>
                <w:szCs w:val="16"/>
                <w:lang w:eastAsia="en-GB"/>
              </w:rPr>
              <w:t>0.194</w:t>
            </w:r>
            <w:r w:rsidR="00813E95">
              <w:rPr>
                <w:rFonts w:ascii="Times New Roman" w:eastAsia="Times New Roman" w:hAnsi="Times New Roman"/>
                <w:color w:val="000000"/>
                <w:sz w:val="16"/>
                <w:szCs w:val="16"/>
                <w:lang w:eastAsia="en-GB"/>
              </w:rPr>
              <w:t>(#)</w:t>
            </w:r>
          </w:p>
        </w:tc>
        <w:tc>
          <w:tcPr>
            <w:tcW w:w="1701" w:type="dxa"/>
            <w:tcBorders>
              <w:top w:val="single" w:sz="4" w:space="0" w:color="auto"/>
              <w:left w:val="nil"/>
              <w:bottom w:val="single" w:sz="4" w:space="0" w:color="auto"/>
              <w:right w:val="single" w:sz="4" w:space="0" w:color="auto"/>
            </w:tcBorders>
            <w:noWrap/>
            <w:vAlign w:val="center"/>
            <w:hideMark/>
          </w:tcPr>
          <w:p w:rsidR="002E67DE" w:rsidRDefault="002E67DE" w:rsidP="00A96C90">
            <w:pPr>
              <w:spacing w:after="0" w:line="240" w:lineRule="auto"/>
              <w:jc w:val="center"/>
              <w:rPr>
                <w:rFonts w:ascii="Times New Roman" w:eastAsia="Times New Roman" w:hAnsi="Times New Roman"/>
                <w:color w:val="000000"/>
                <w:sz w:val="16"/>
                <w:szCs w:val="16"/>
                <w:lang w:eastAsia="en-GB"/>
              </w:rPr>
            </w:pPr>
            <w:r>
              <w:rPr>
                <w:rFonts w:ascii="Times New Roman" w:eastAsia="Times New Roman" w:hAnsi="Times New Roman"/>
                <w:color w:val="000000"/>
                <w:sz w:val="16"/>
                <w:szCs w:val="16"/>
                <w:lang w:eastAsia="en-GB"/>
              </w:rPr>
              <w:t>0</w:t>
            </w:r>
          </w:p>
          <w:p w:rsidR="00545E56" w:rsidRDefault="00545E56" w:rsidP="00A96C90">
            <w:pPr>
              <w:spacing w:after="0" w:line="240" w:lineRule="auto"/>
              <w:jc w:val="center"/>
              <w:rPr>
                <w:rFonts w:ascii="Times New Roman" w:eastAsia="Times New Roman" w:hAnsi="Times New Roman"/>
                <w:color w:val="000000"/>
                <w:sz w:val="16"/>
                <w:szCs w:val="16"/>
                <w:lang w:eastAsia="en-GB"/>
              </w:rPr>
            </w:pPr>
            <w:r>
              <w:rPr>
                <w:rFonts w:ascii="Times New Roman" w:eastAsia="Times New Roman" w:hAnsi="Times New Roman"/>
                <w:color w:val="000000"/>
                <w:sz w:val="16"/>
                <w:szCs w:val="16"/>
                <w:lang w:eastAsia="en-GB"/>
              </w:rPr>
              <w:t>0.0223</w:t>
            </w:r>
            <w:r w:rsidR="00813E95">
              <w:rPr>
                <w:rFonts w:ascii="Times New Roman" w:eastAsia="Times New Roman" w:hAnsi="Times New Roman"/>
                <w:color w:val="000000"/>
                <w:sz w:val="16"/>
                <w:szCs w:val="16"/>
                <w:lang w:eastAsia="en-GB"/>
              </w:rPr>
              <w:t>(#)</w:t>
            </w:r>
          </w:p>
        </w:tc>
        <w:tc>
          <w:tcPr>
            <w:tcW w:w="1701" w:type="dxa"/>
            <w:tcBorders>
              <w:top w:val="single" w:sz="4" w:space="0" w:color="auto"/>
              <w:left w:val="nil"/>
              <w:bottom w:val="single" w:sz="4" w:space="0" w:color="auto"/>
              <w:right w:val="single" w:sz="4" w:space="0" w:color="auto"/>
            </w:tcBorders>
            <w:noWrap/>
            <w:vAlign w:val="center"/>
            <w:hideMark/>
          </w:tcPr>
          <w:p w:rsidR="002E67DE" w:rsidRDefault="002E67DE" w:rsidP="00A96C90">
            <w:pPr>
              <w:spacing w:after="0" w:line="240" w:lineRule="auto"/>
              <w:jc w:val="center"/>
              <w:rPr>
                <w:rFonts w:ascii="Times New Roman" w:eastAsia="Times New Roman" w:hAnsi="Times New Roman"/>
                <w:color w:val="000000"/>
                <w:sz w:val="16"/>
                <w:szCs w:val="16"/>
                <w:lang w:eastAsia="en-GB"/>
              </w:rPr>
            </w:pPr>
            <w:r>
              <w:rPr>
                <w:rFonts w:ascii="Times New Roman" w:eastAsia="Times New Roman" w:hAnsi="Times New Roman"/>
                <w:color w:val="000000"/>
                <w:sz w:val="16"/>
                <w:szCs w:val="16"/>
                <w:lang w:eastAsia="en-GB"/>
              </w:rPr>
              <w:t>0</w:t>
            </w:r>
          </w:p>
          <w:p w:rsidR="00545E56" w:rsidRDefault="00545E56" w:rsidP="00A96C90">
            <w:pPr>
              <w:spacing w:after="0" w:line="240" w:lineRule="auto"/>
              <w:jc w:val="center"/>
              <w:rPr>
                <w:rFonts w:ascii="Times New Roman" w:eastAsia="Times New Roman" w:hAnsi="Times New Roman"/>
                <w:color w:val="000000"/>
                <w:sz w:val="16"/>
                <w:szCs w:val="16"/>
                <w:lang w:eastAsia="en-GB"/>
              </w:rPr>
            </w:pPr>
            <w:r>
              <w:rPr>
                <w:rFonts w:ascii="Times New Roman" w:eastAsia="Times New Roman" w:hAnsi="Times New Roman"/>
                <w:color w:val="000000"/>
                <w:sz w:val="16"/>
                <w:szCs w:val="16"/>
                <w:lang w:eastAsia="en-GB"/>
              </w:rPr>
              <w:t>0.001</w:t>
            </w:r>
            <w:r w:rsidR="00813E95">
              <w:rPr>
                <w:rFonts w:ascii="Times New Roman" w:eastAsia="Times New Roman" w:hAnsi="Times New Roman"/>
                <w:color w:val="000000"/>
                <w:sz w:val="16"/>
                <w:szCs w:val="16"/>
                <w:lang w:eastAsia="en-GB"/>
              </w:rPr>
              <w:t>(#)</w:t>
            </w:r>
          </w:p>
        </w:tc>
        <w:tc>
          <w:tcPr>
            <w:tcW w:w="1843" w:type="dxa"/>
            <w:tcBorders>
              <w:top w:val="single" w:sz="4" w:space="0" w:color="auto"/>
              <w:left w:val="nil"/>
              <w:bottom w:val="single" w:sz="4" w:space="0" w:color="auto"/>
              <w:right w:val="single" w:sz="4" w:space="0" w:color="auto"/>
            </w:tcBorders>
            <w:noWrap/>
            <w:vAlign w:val="center"/>
            <w:hideMark/>
          </w:tcPr>
          <w:p w:rsidR="002E67DE" w:rsidRDefault="002E67DE" w:rsidP="00A96C90">
            <w:pPr>
              <w:spacing w:after="0" w:line="240" w:lineRule="auto"/>
              <w:jc w:val="center"/>
              <w:rPr>
                <w:rFonts w:eastAsia="Times New Roman" w:cs="Calibri"/>
                <w:color w:val="000000"/>
                <w:sz w:val="16"/>
                <w:szCs w:val="16"/>
                <w:lang w:eastAsia="en-GB"/>
              </w:rPr>
            </w:pPr>
            <w:r>
              <w:rPr>
                <w:rFonts w:eastAsia="Times New Roman" w:cs="Calibri"/>
                <w:color w:val="000000"/>
                <w:sz w:val="16"/>
                <w:szCs w:val="16"/>
                <w:lang w:eastAsia="en-GB"/>
              </w:rPr>
              <w:t>0</w:t>
            </w:r>
          </w:p>
          <w:p w:rsidR="00545E56" w:rsidRDefault="00545E56" w:rsidP="00A96C90">
            <w:pPr>
              <w:spacing w:after="0" w:line="240" w:lineRule="auto"/>
              <w:jc w:val="center"/>
              <w:rPr>
                <w:rFonts w:eastAsia="Times New Roman" w:cs="Calibri"/>
                <w:color w:val="000000"/>
                <w:sz w:val="16"/>
                <w:szCs w:val="16"/>
                <w:lang w:eastAsia="en-GB"/>
              </w:rPr>
            </w:pPr>
            <w:r>
              <w:rPr>
                <w:rFonts w:eastAsia="Times New Roman" w:cs="Calibri"/>
                <w:color w:val="000000"/>
                <w:sz w:val="16"/>
                <w:szCs w:val="16"/>
                <w:lang w:eastAsia="en-GB"/>
              </w:rPr>
              <w:t>0</w:t>
            </w:r>
          </w:p>
        </w:tc>
      </w:tr>
      <w:tr w:rsidR="00D114FD" w:rsidTr="00A96C90">
        <w:trPr>
          <w:trHeight w:val="852"/>
        </w:trPr>
        <w:tc>
          <w:tcPr>
            <w:tcW w:w="1323" w:type="dxa"/>
            <w:tcBorders>
              <w:top w:val="single" w:sz="4" w:space="0" w:color="auto"/>
              <w:left w:val="single" w:sz="4" w:space="0" w:color="auto"/>
              <w:bottom w:val="nil"/>
              <w:right w:val="single" w:sz="4" w:space="0" w:color="auto"/>
            </w:tcBorders>
            <w:vAlign w:val="bottom"/>
            <w:hideMark/>
          </w:tcPr>
          <w:p w:rsidR="00D114FD" w:rsidRDefault="00D114FD">
            <w:pPr>
              <w:spacing w:after="0" w:line="240" w:lineRule="auto"/>
              <w:rPr>
                <w:rFonts w:ascii="Times New Roman" w:eastAsia="Times New Roman" w:hAnsi="Times New Roman"/>
                <w:b/>
                <w:bCs/>
                <w:color w:val="000000"/>
                <w:sz w:val="16"/>
                <w:szCs w:val="16"/>
                <w:lang w:eastAsia="en-GB"/>
              </w:rPr>
            </w:pPr>
            <w:r>
              <w:rPr>
                <w:rFonts w:ascii="Times New Roman" w:eastAsia="Times New Roman" w:hAnsi="Times New Roman"/>
                <w:b/>
                <w:bCs/>
                <w:color w:val="000000"/>
                <w:sz w:val="16"/>
                <w:szCs w:val="16"/>
                <w:lang w:eastAsia="en-GB"/>
              </w:rPr>
              <w:t>6.</w:t>
            </w:r>
            <w:r>
              <w:rPr>
                <w:rFonts w:ascii="Times New Roman" w:eastAsia="Times New Roman" w:hAnsi="Times New Roman"/>
                <w:color w:val="000000"/>
                <w:sz w:val="16"/>
                <w:szCs w:val="16"/>
                <w:lang w:eastAsia="en-GB"/>
              </w:rPr>
              <w:t xml:space="preserve">Leveraged funds from   Negative CDS-Basis </w:t>
            </w:r>
          </w:p>
        </w:tc>
        <w:tc>
          <w:tcPr>
            <w:tcW w:w="840" w:type="dxa"/>
            <w:tcBorders>
              <w:top w:val="single" w:sz="4" w:space="0" w:color="auto"/>
              <w:left w:val="nil"/>
              <w:bottom w:val="nil"/>
              <w:right w:val="single" w:sz="4" w:space="0" w:color="auto"/>
            </w:tcBorders>
            <w:noWrap/>
            <w:vAlign w:val="center"/>
            <w:hideMark/>
          </w:tcPr>
          <w:p w:rsidR="00D114FD" w:rsidRDefault="00D114FD" w:rsidP="00A96C90">
            <w:pPr>
              <w:spacing w:after="0" w:line="240" w:lineRule="auto"/>
              <w:jc w:val="center"/>
              <w:rPr>
                <w:rFonts w:ascii="Times New Roman" w:eastAsia="Times New Roman" w:hAnsi="Times New Roman"/>
                <w:color w:val="000000"/>
                <w:sz w:val="16"/>
                <w:szCs w:val="16"/>
                <w:lang w:eastAsia="en-GB"/>
              </w:rPr>
            </w:pPr>
            <w:r>
              <w:rPr>
                <w:rFonts w:ascii="Times New Roman" w:eastAsia="Times New Roman" w:hAnsi="Times New Roman"/>
                <w:color w:val="000000"/>
                <w:sz w:val="16"/>
                <w:szCs w:val="16"/>
                <w:lang w:eastAsia="en-GB"/>
              </w:rPr>
              <w:t>NA</w:t>
            </w:r>
          </w:p>
        </w:tc>
        <w:tc>
          <w:tcPr>
            <w:tcW w:w="880" w:type="dxa"/>
            <w:tcBorders>
              <w:top w:val="single" w:sz="4" w:space="0" w:color="auto"/>
              <w:left w:val="nil"/>
              <w:bottom w:val="nil"/>
              <w:right w:val="single" w:sz="4" w:space="0" w:color="auto"/>
            </w:tcBorders>
            <w:noWrap/>
            <w:vAlign w:val="center"/>
            <w:hideMark/>
          </w:tcPr>
          <w:p w:rsidR="00D114FD" w:rsidRDefault="00D114FD" w:rsidP="00A96C90">
            <w:pPr>
              <w:spacing w:after="0" w:line="240" w:lineRule="auto"/>
              <w:jc w:val="center"/>
              <w:rPr>
                <w:rFonts w:ascii="Times New Roman" w:eastAsia="Times New Roman" w:hAnsi="Times New Roman"/>
                <w:color w:val="000000"/>
                <w:sz w:val="16"/>
                <w:szCs w:val="16"/>
                <w:lang w:eastAsia="en-GB"/>
              </w:rPr>
            </w:pPr>
            <w:r>
              <w:rPr>
                <w:rFonts w:ascii="Times New Roman" w:eastAsia="Times New Roman" w:hAnsi="Times New Roman"/>
                <w:color w:val="000000"/>
                <w:sz w:val="16"/>
                <w:szCs w:val="16"/>
                <w:lang w:eastAsia="en-GB"/>
              </w:rPr>
              <w:t>NA</w:t>
            </w:r>
          </w:p>
        </w:tc>
        <w:tc>
          <w:tcPr>
            <w:tcW w:w="907" w:type="dxa"/>
            <w:tcBorders>
              <w:top w:val="single" w:sz="4" w:space="0" w:color="auto"/>
              <w:left w:val="nil"/>
              <w:bottom w:val="nil"/>
              <w:right w:val="single" w:sz="4" w:space="0" w:color="auto"/>
            </w:tcBorders>
            <w:noWrap/>
            <w:vAlign w:val="center"/>
            <w:hideMark/>
          </w:tcPr>
          <w:p w:rsidR="00D114FD" w:rsidRDefault="00D114FD" w:rsidP="00A96C90">
            <w:pPr>
              <w:spacing w:after="0" w:line="240" w:lineRule="auto"/>
              <w:jc w:val="center"/>
              <w:rPr>
                <w:rFonts w:ascii="Times New Roman" w:eastAsia="Times New Roman" w:hAnsi="Times New Roman"/>
                <w:color w:val="000000"/>
                <w:sz w:val="16"/>
                <w:szCs w:val="16"/>
                <w:lang w:eastAsia="en-GB"/>
              </w:rPr>
            </w:pPr>
            <w:r>
              <w:rPr>
                <w:rFonts w:ascii="Times New Roman" w:eastAsia="Times New Roman" w:hAnsi="Times New Roman"/>
                <w:color w:val="000000"/>
                <w:sz w:val="16"/>
                <w:szCs w:val="16"/>
                <w:lang w:eastAsia="en-GB"/>
              </w:rPr>
              <w:t>94.759</w:t>
            </w:r>
            <w:r>
              <w:rPr>
                <w:rStyle w:val="FootnoteReference"/>
                <w:rFonts w:ascii="Times New Roman" w:eastAsia="Times New Roman" w:hAnsi="Times New Roman"/>
                <w:color w:val="000000"/>
                <w:sz w:val="16"/>
                <w:szCs w:val="16"/>
                <w:lang w:eastAsia="en-GB"/>
              </w:rPr>
              <w:footnoteReference w:id="22"/>
            </w:r>
          </w:p>
        </w:tc>
        <w:tc>
          <w:tcPr>
            <w:tcW w:w="885" w:type="dxa"/>
            <w:tcBorders>
              <w:top w:val="single" w:sz="4" w:space="0" w:color="auto"/>
              <w:left w:val="nil"/>
              <w:bottom w:val="nil"/>
              <w:right w:val="single" w:sz="4" w:space="0" w:color="auto"/>
            </w:tcBorders>
            <w:noWrap/>
            <w:vAlign w:val="center"/>
            <w:hideMark/>
          </w:tcPr>
          <w:p w:rsidR="00D114FD" w:rsidRDefault="00D114FD" w:rsidP="00A96C90">
            <w:pPr>
              <w:spacing w:after="0" w:line="240" w:lineRule="auto"/>
              <w:jc w:val="center"/>
              <w:rPr>
                <w:rFonts w:ascii="Times New Roman" w:eastAsia="Times New Roman" w:hAnsi="Times New Roman"/>
                <w:color w:val="000000"/>
                <w:sz w:val="16"/>
                <w:szCs w:val="16"/>
                <w:lang w:eastAsia="en-GB"/>
              </w:rPr>
            </w:pPr>
            <w:r>
              <w:rPr>
                <w:rFonts w:ascii="Times New Roman" w:eastAsia="Times New Roman" w:hAnsi="Times New Roman"/>
                <w:color w:val="000000"/>
                <w:sz w:val="16"/>
                <w:szCs w:val="16"/>
                <w:lang w:eastAsia="en-GB"/>
              </w:rPr>
              <w:t>17.156</w:t>
            </w:r>
          </w:p>
        </w:tc>
        <w:tc>
          <w:tcPr>
            <w:tcW w:w="1701" w:type="dxa"/>
            <w:tcBorders>
              <w:top w:val="single" w:sz="4" w:space="0" w:color="auto"/>
              <w:left w:val="nil"/>
              <w:bottom w:val="nil"/>
              <w:right w:val="single" w:sz="4" w:space="0" w:color="auto"/>
            </w:tcBorders>
            <w:noWrap/>
            <w:vAlign w:val="center"/>
            <w:hideMark/>
          </w:tcPr>
          <w:p w:rsidR="00D114FD" w:rsidRDefault="00D114FD" w:rsidP="00A96C90">
            <w:pPr>
              <w:spacing w:after="0" w:line="240" w:lineRule="auto"/>
              <w:jc w:val="center"/>
              <w:rPr>
                <w:rFonts w:ascii="Times New Roman" w:eastAsia="Times New Roman" w:hAnsi="Times New Roman"/>
                <w:color w:val="000000"/>
                <w:sz w:val="16"/>
                <w:szCs w:val="16"/>
                <w:lang w:eastAsia="en-GB"/>
              </w:rPr>
            </w:pPr>
            <w:r>
              <w:rPr>
                <w:rFonts w:ascii="Times New Roman" w:eastAsia="Times New Roman" w:hAnsi="Times New Roman"/>
                <w:color w:val="000000"/>
                <w:sz w:val="16"/>
                <w:szCs w:val="16"/>
                <w:lang w:eastAsia="en-GB"/>
              </w:rPr>
              <w:t>2.187</w:t>
            </w:r>
          </w:p>
        </w:tc>
        <w:tc>
          <w:tcPr>
            <w:tcW w:w="1701" w:type="dxa"/>
            <w:tcBorders>
              <w:top w:val="single" w:sz="4" w:space="0" w:color="auto"/>
              <w:left w:val="nil"/>
              <w:bottom w:val="single" w:sz="4" w:space="0" w:color="auto"/>
              <w:right w:val="single" w:sz="4" w:space="0" w:color="auto"/>
            </w:tcBorders>
            <w:noWrap/>
            <w:vAlign w:val="center"/>
            <w:hideMark/>
          </w:tcPr>
          <w:p w:rsidR="00D114FD" w:rsidRDefault="00D114FD" w:rsidP="00A96C90">
            <w:pPr>
              <w:spacing w:after="0" w:line="240" w:lineRule="auto"/>
              <w:jc w:val="center"/>
              <w:rPr>
                <w:rFonts w:ascii="Times New Roman" w:eastAsia="Times New Roman" w:hAnsi="Times New Roman"/>
                <w:color w:val="000000"/>
                <w:sz w:val="16"/>
                <w:szCs w:val="16"/>
                <w:lang w:eastAsia="en-GB"/>
              </w:rPr>
            </w:pPr>
          </w:p>
        </w:tc>
        <w:tc>
          <w:tcPr>
            <w:tcW w:w="1843" w:type="dxa"/>
            <w:tcBorders>
              <w:top w:val="single" w:sz="4" w:space="0" w:color="auto"/>
              <w:left w:val="nil"/>
              <w:bottom w:val="nil"/>
              <w:right w:val="single" w:sz="4" w:space="0" w:color="auto"/>
            </w:tcBorders>
            <w:noWrap/>
            <w:vAlign w:val="center"/>
            <w:hideMark/>
          </w:tcPr>
          <w:p w:rsidR="00D114FD" w:rsidRDefault="00D114FD" w:rsidP="00A96C90">
            <w:pPr>
              <w:spacing w:after="0" w:line="240" w:lineRule="auto"/>
              <w:jc w:val="center"/>
              <w:rPr>
                <w:rFonts w:ascii="Times New Roman" w:eastAsia="Times New Roman" w:hAnsi="Times New Roman"/>
                <w:color w:val="000000"/>
                <w:sz w:val="16"/>
                <w:szCs w:val="16"/>
                <w:lang w:eastAsia="en-GB"/>
              </w:rPr>
            </w:pPr>
          </w:p>
        </w:tc>
      </w:tr>
      <w:tr w:rsidR="00D114FD" w:rsidTr="00A96C90">
        <w:trPr>
          <w:trHeight w:val="915"/>
        </w:trPr>
        <w:tc>
          <w:tcPr>
            <w:tcW w:w="1323" w:type="dxa"/>
            <w:tcBorders>
              <w:top w:val="single" w:sz="4" w:space="0" w:color="auto"/>
              <w:left w:val="single" w:sz="4" w:space="0" w:color="auto"/>
              <w:bottom w:val="single" w:sz="4" w:space="0" w:color="auto"/>
              <w:right w:val="single" w:sz="4" w:space="0" w:color="auto"/>
            </w:tcBorders>
            <w:vAlign w:val="bottom"/>
            <w:hideMark/>
          </w:tcPr>
          <w:p w:rsidR="00D114FD" w:rsidRDefault="00D114FD">
            <w:pPr>
              <w:spacing w:after="0" w:line="240" w:lineRule="auto"/>
              <w:rPr>
                <w:rFonts w:ascii="Times New Roman" w:eastAsia="Times New Roman" w:hAnsi="Times New Roman"/>
                <w:color w:val="000000"/>
                <w:sz w:val="16"/>
                <w:szCs w:val="16"/>
                <w:lang w:eastAsia="en-GB"/>
              </w:rPr>
            </w:pPr>
            <w:r w:rsidRPr="00D114FD">
              <w:rPr>
                <w:rFonts w:ascii="Times New Roman" w:eastAsia="Times New Roman" w:hAnsi="Times New Roman"/>
                <w:b/>
                <w:color w:val="000000"/>
                <w:sz w:val="16"/>
                <w:szCs w:val="16"/>
                <w:lang w:eastAsia="en-GB"/>
              </w:rPr>
              <w:t>7.</w:t>
            </w:r>
            <w:r>
              <w:rPr>
                <w:rFonts w:ascii="Times New Roman" w:eastAsia="Times New Roman" w:hAnsi="Times New Roman"/>
                <w:color w:val="000000"/>
                <w:sz w:val="16"/>
                <w:szCs w:val="16"/>
                <w:lang w:eastAsia="en-GB"/>
              </w:rPr>
              <w:t xml:space="preserve">CDS buy on </w:t>
            </w:r>
            <w:r>
              <w:rPr>
                <w:rStyle w:val="FootnoteReference"/>
                <w:rFonts w:ascii="Times New Roman" w:eastAsia="Times New Roman" w:hAnsi="Times New Roman"/>
                <w:color w:val="000000"/>
                <w:sz w:val="16"/>
                <w:szCs w:val="16"/>
                <w:lang w:eastAsia="en-GB"/>
              </w:rPr>
              <w:footnoteReference w:id="23"/>
            </w:r>
            <w:r>
              <w:rPr>
                <w:rFonts w:ascii="Times New Roman" w:eastAsia="Times New Roman" w:hAnsi="Times New Roman"/>
                <w:color w:val="000000"/>
                <w:sz w:val="16"/>
                <w:szCs w:val="16"/>
                <w:lang w:eastAsia="en-GB"/>
              </w:rPr>
              <w:t>mezzanine Tranche (outstanding)</w:t>
            </w:r>
          </w:p>
        </w:tc>
        <w:tc>
          <w:tcPr>
            <w:tcW w:w="840" w:type="dxa"/>
            <w:tcBorders>
              <w:top w:val="single" w:sz="4" w:space="0" w:color="auto"/>
              <w:left w:val="nil"/>
              <w:bottom w:val="single" w:sz="4" w:space="0" w:color="auto"/>
              <w:right w:val="single" w:sz="4" w:space="0" w:color="auto"/>
            </w:tcBorders>
            <w:noWrap/>
            <w:vAlign w:val="center"/>
            <w:hideMark/>
          </w:tcPr>
          <w:p w:rsidR="00D114FD" w:rsidRDefault="00D114FD" w:rsidP="00A96C90">
            <w:pPr>
              <w:spacing w:after="0" w:line="240" w:lineRule="auto"/>
              <w:jc w:val="center"/>
              <w:rPr>
                <w:rFonts w:ascii="Times New Roman" w:eastAsia="Times New Roman" w:hAnsi="Times New Roman"/>
                <w:color w:val="000000"/>
                <w:sz w:val="16"/>
                <w:szCs w:val="16"/>
                <w:lang w:eastAsia="en-GB"/>
              </w:rPr>
            </w:pPr>
            <w:r>
              <w:rPr>
                <w:rFonts w:ascii="Times New Roman" w:eastAsia="Times New Roman" w:hAnsi="Times New Roman"/>
                <w:color w:val="000000"/>
                <w:sz w:val="16"/>
                <w:szCs w:val="16"/>
                <w:lang w:eastAsia="en-GB"/>
              </w:rPr>
              <w:t>361.401</w:t>
            </w:r>
          </w:p>
        </w:tc>
        <w:tc>
          <w:tcPr>
            <w:tcW w:w="880" w:type="dxa"/>
            <w:tcBorders>
              <w:top w:val="single" w:sz="4" w:space="0" w:color="auto"/>
              <w:left w:val="nil"/>
              <w:bottom w:val="single" w:sz="4" w:space="0" w:color="auto"/>
              <w:right w:val="single" w:sz="4" w:space="0" w:color="auto"/>
            </w:tcBorders>
            <w:noWrap/>
            <w:vAlign w:val="center"/>
            <w:hideMark/>
          </w:tcPr>
          <w:p w:rsidR="00D114FD" w:rsidRDefault="00D114FD" w:rsidP="00A96C90">
            <w:pPr>
              <w:spacing w:after="0" w:line="240" w:lineRule="auto"/>
              <w:jc w:val="center"/>
              <w:rPr>
                <w:rFonts w:ascii="Times New Roman" w:eastAsia="Times New Roman" w:hAnsi="Times New Roman"/>
                <w:color w:val="000000"/>
                <w:sz w:val="16"/>
                <w:szCs w:val="16"/>
                <w:lang w:eastAsia="en-GB"/>
              </w:rPr>
            </w:pPr>
            <w:r>
              <w:rPr>
                <w:rFonts w:ascii="Times New Roman" w:eastAsia="Times New Roman" w:hAnsi="Times New Roman"/>
                <w:color w:val="000000"/>
                <w:sz w:val="16"/>
                <w:szCs w:val="16"/>
                <w:lang w:eastAsia="en-GB"/>
              </w:rPr>
              <w:t>373.544</w:t>
            </w:r>
          </w:p>
        </w:tc>
        <w:tc>
          <w:tcPr>
            <w:tcW w:w="907" w:type="dxa"/>
            <w:tcBorders>
              <w:top w:val="single" w:sz="4" w:space="0" w:color="auto"/>
              <w:left w:val="nil"/>
              <w:bottom w:val="single" w:sz="4" w:space="0" w:color="auto"/>
              <w:right w:val="single" w:sz="4" w:space="0" w:color="auto"/>
            </w:tcBorders>
            <w:noWrap/>
            <w:vAlign w:val="center"/>
            <w:hideMark/>
          </w:tcPr>
          <w:p w:rsidR="00D114FD" w:rsidRDefault="00D114FD" w:rsidP="00A96C90">
            <w:pPr>
              <w:spacing w:after="0" w:line="240" w:lineRule="auto"/>
              <w:jc w:val="center"/>
              <w:rPr>
                <w:rFonts w:ascii="Times New Roman" w:eastAsia="Times New Roman" w:hAnsi="Times New Roman"/>
                <w:color w:val="000000"/>
                <w:sz w:val="16"/>
                <w:szCs w:val="16"/>
                <w:lang w:eastAsia="en-GB"/>
              </w:rPr>
            </w:pPr>
            <w:r>
              <w:rPr>
                <w:rFonts w:ascii="Times New Roman" w:eastAsia="Times New Roman" w:hAnsi="Times New Roman"/>
                <w:color w:val="000000"/>
                <w:sz w:val="16"/>
                <w:szCs w:val="16"/>
                <w:lang w:eastAsia="en-GB"/>
              </w:rPr>
              <w:t>379.107</w:t>
            </w:r>
          </w:p>
        </w:tc>
        <w:tc>
          <w:tcPr>
            <w:tcW w:w="885" w:type="dxa"/>
            <w:tcBorders>
              <w:top w:val="single" w:sz="4" w:space="0" w:color="auto"/>
              <w:left w:val="nil"/>
              <w:bottom w:val="single" w:sz="4" w:space="0" w:color="auto"/>
              <w:right w:val="single" w:sz="4" w:space="0" w:color="auto"/>
            </w:tcBorders>
            <w:noWrap/>
            <w:vAlign w:val="center"/>
            <w:hideMark/>
          </w:tcPr>
          <w:p w:rsidR="00D114FD" w:rsidRDefault="00D114FD" w:rsidP="00A96C90">
            <w:pPr>
              <w:spacing w:after="0" w:line="240" w:lineRule="auto"/>
              <w:jc w:val="center"/>
              <w:rPr>
                <w:rFonts w:ascii="Times New Roman" w:eastAsia="Times New Roman" w:hAnsi="Times New Roman"/>
                <w:color w:val="000000"/>
                <w:sz w:val="16"/>
                <w:szCs w:val="16"/>
                <w:lang w:eastAsia="en-GB"/>
              </w:rPr>
            </w:pPr>
            <w:r>
              <w:rPr>
                <w:rFonts w:ascii="Times New Roman" w:eastAsia="Times New Roman" w:hAnsi="Times New Roman"/>
                <w:color w:val="000000"/>
                <w:sz w:val="16"/>
                <w:szCs w:val="16"/>
                <w:lang w:eastAsia="en-GB"/>
              </w:rPr>
              <w:t>436.881</w:t>
            </w:r>
          </w:p>
        </w:tc>
        <w:tc>
          <w:tcPr>
            <w:tcW w:w="1701" w:type="dxa"/>
            <w:tcBorders>
              <w:top w:val="single" w:sz="4" w:space="0" w:color="auto"/>
              <w:left w:val="nil"/>
              <w:bottom w:val="single" w:sz="4" w:space="0" w:color="auto"/>
              <w:right w:val="single" w:sz="4" w:space="0" w:color="auto"/>
            </w:tcBorders>
            <w:noWrap/>
            <w:vAlign w:val="center"/>
            <w:hideMark/>
          </w:tcPr>
          <w:p w:rsidR="00D114FD" w:rsidRDefault="00D114FD" w:rsidP="00A96C90">
            <w:pPr>
              <w:spacing w:after="0" w:line="240" w:lineRule="auto"/>
              <w:jc w:val="center"/>
              <w:rPr>
                <w:rFonts w:ascii="Times New Roman" w:eastAsia="Times New Roman" w:hAnsi="Times New Roman"/>
                <w:color w:val="000000"/>
                <w:sz w:val="16"/>
                <w:szCs w:val="16"/>
                <w:lang w:eastAsia="en-GB"/>
              </w:rPr>
            </w:pPr>
            <w:r>
              <w:rPr>
                <w:rFonts w:ascii="Times New Roman" w:eastAsia="Times New Roman" w:hAnsi="Times New Roman"/>
                <w:color w:val="000000"/>
                <w:sz w:val="16"/>
                <w:szCs w:val="16"/>
                <w:lang w:eastAsia="en-GB"/>
              </w:rPr>
              <w:t>447.292</w:t>
            </w:r>
          </w:p>
        </w:tc>
        <w:tc>
          <w:tcPr>
            <w:tcW w:w="1701" w:type="dxa"/>
            <w:tcBorders>
              <w:top w:val="nil"/>
              <w:left w:val="nil"/>
              <w:bottom w:val="single" w:sz="4" w:space="0" w:color="auto"/>
              <w:right w:val="single" w:sz="4" w:space="0" w:color="auto"/>
            </w:tcBorders>
            <w:noWrap/>
            <w:vAlign w:val="center"/>
            <w:hideMark/>
          </w:tcPr>
          <w:p w:rsidR="00D114FD" w:rsidRDefault="006D2059" w:rsidP="00A96C90">
            <w:pPr>
              <w:spacing w:after="0" w:line="240" w:lineRule="auto"/>
              <w:jc w:val="center"/>
              <w:rPr>
                <w:rFonts w:ascii="Times New Roman" w:eastAsia="Times New Roman" w:hAnsi="Times New Roman"/>
                <w:color w:val="000000"/>
                <w:sz w:val="16"/>
                <w:szCs w:val="16"/>
                <w:lang w:eastAsia="en-GB"/>
              </w:rPr>
            </w:pPr>
            <w:r>
              <w:rPr>
                <w:rFonts w:ascii="Times New Roman" w:eastAsia="Times New Roman" w:hAnsi="Times New Roman"/>
                <w:color w:val="000000"/>
                <w:sz w:val="16"/>
                <w:szCs w:val="16"/>
                <w:lang w:eastAsia="en-GB"/>
              </w:rPr>
              <w:t>434.824</w:t>
            </w:r>
          </w:p>
        </w:tc>
        <w:tc>
          <w:tcPr>
            <w:tcW w:w="1843" w:type="dxa"/>
            <w:tcBorders>
              <w:top w:val="single" w:sz="4" w:space="0" w:color="auto"/>
              <w:left w:val="nil"/>
              <w:bottom w:val="single" w:sz="4" w:space="0" w:color="auto"/>
              <w:right w:val="single" w:sz="4" w:space="0" w:color="auto"/>
            </w:tcBorders>
            <w:noWrap/>
            <w:vAlign w:val="center"/>
            <w:hideMark/>
          </w:tcPr>
          <w:p w:rsidR="00D114FD" w:rsidRDefault="006D2059" w:rsidP="00A96C90">
            <w:pPr>
              <w:spacing w:after="0" w:line="240" w:lineRule="auto"/>
              <w:jc w:val="center"/>
              <w:rPr>
                <w:rFonts w:ascii="Times New Roman" w:eastAsia="Times New Roman" w:hAnsi="Times New Roman"/>
                <w:color w:val="000000"/>
                <w:sz w:val="16"/>
                <w:szCs w:val="16"/>
                <w:lang w:eastAsia="en-GB"/>
              </w:rPr>
            </w:pPr>
            <w:r>
              <w:rPr>
                <w:rFonts w:ascii="Times New Roman" w:eastAsia="Times New Roman" w:hAnsi="Times New Roman"/>
                <w:color w:val="000000"/>
                <w:sz w:val="16"/>
                <w:szCs w:val="16"/>
                <w:lang w:eastAsia="en-GB"/>
              </w:rPr>
              <w:t>408.34</w:t>
            </w:r>
          </w:p>
        </w:tc>
      </w:tr>
      <w:tr w:rsidR="00D114FD" w:rsidTr="00A96C90">
        <w:trPr>
          <w:trHeight w:val="915"/>
        </w:trPr>
        <w:tc>
          <w:tcPr>
            <w:tcW w:w="1323" w:type="dxa"/>
            <w:tcBorders>
              <w:top w:val="nil"/>
              <w:left w:val="single" w:sz="4" w:space="0" w:color="auto"/>
              <w:bottom w:val="nil"/>
              <w:right w:val="single" w:sz="4" w:space="0" w:color="auto"/>
            </w:tcBorders>
            <w:vAlign w:val="bottom"/>
            <w:hideMark/>
          </w:tcPr>
          <w:p w:rsidR="00D114FD" w:rsidRDefault="00D114FD">
            <w:pPr>
              <w:spacing w:after="0" w:line="240" w:lineRule="auto"/>
              <w:rPr>
                <w:rFonts w:ascii="Times New Roman" w:eastAsia="Times New Roman" w:hAnsi="Times New Roman"/>
                <w:b/>
                <w:bCs/>
                <w:color w:val="000000"/>
                <w:sz w:val="16"/>
                <w:szCs w:val="16"/>
                <w:lang w:eastAsia="en-GB"/>
              </w:rPr>
            </w:pPr>
            <w:r>
              <w:rPr>
                <w:rFonts w:ascii="Times New Roman" w:eastAsia="Times New Roman" w:hAnsi="Times New Roman"/>
                <w:b/>
                <w:bCs/>
                <w:color w:val="000000"/>
                <w:sz w:val="16"/>
                <w:szCs w:val="16"/>
                <w:lang w:eastAsia="en-GB"/>
              </w:rPr>
              <w:t>8.</w:t>
            </w:r>
            <w:r>
              <w:rPr>
                <w:rFonts w:ascii="Times New Roman" w:eastAsia="Times New Roman" w:hAnsi="Times New Roman"/>
                <w:color w:val="000000"/>
                <w:sz w:val="16"/>
                <w:szCs w:val="16"/>
                <w:lang w:eastAsia="en-GB"/>
              </w:rPr>
              <w:t>Tranche on which CDS purchased in carry trade</w:t>
            </w:r>
          </w:p>
        </w:tc>
        <w:tc>
          <w:tcPr>
            <w:tcW w:w="840" w:type="dxa"/>
            <w:tcBorders>
              <w:top w:val="nil"/>
              <w:left w:val="nil"/>
              <w:bottom w:val="single" w:sz="4" w:space="0" w:color="auto"/>
              <w:right w:val="single" w:sz="4" w:space="0" w:color="auto"/>
            </w:tcBorders>
            <w:vAlign w:val="center"/>
            <w:hideMark/>
          </w:tcPr>
          <w:p w:rsidR="00D114FD" w:rsidRDefault="00D114FD" w:rsidP="004D427C">
            <w:pPr>
              <w:spacing w:after="0" w:line="240" w:lineRule="auto"/>
              <w:jc w:val="center"/>
              <w:rPr>
                <w:rFonts w:ascii="Times New Roman" w:eastAsia="Times New Roman" w:hAnsi="Times New Roman"/>
                <w:color w:val="000000"/>
                <w:sz w:val="16"/>
                <w:szCs w:val="16"/>
                <w:lang w:eastAsia="en-GB"/>
              </w:rPr>
            </w:pPr>
            <w:r>
              <w:rPr>
                <w:rFonts w:ascii="Times New Roman" w:eastAsia="Times New Roman" w:hAnsi="Times New Roman"/>
                <w:color w:val="000000"/>
                <w:sz w:val="16"/>
                <w:szCs w:val="16"/>
                <w:lang w:eastAsia="en-GB"/>
              </w:rPr>
              <w:t>BBB (vintage 2006-01)</w:t>
            </w:r>
          </w:p>
        </w:tc>
        <w:tc>
          <w:tcPr>
            <w:tcW w:w="880" w:type="dxa"/>
            <w:tcBorders>
              <w:top w:val="nil"/>
              <w:left w:val="nil"/>
              <w:bottom w:val="single" w:sz="4" w:space="0" w:color="auto"/>
              <w:right w:val="single" w:sz="4" w:space="0" w:color="auto"/>
            </w:tcBorders>
            <w:vAlign w:val="center"/>
            <w:hideMark/>
          </w:tcPr>
          <w:p w:rsidR="00D114FD" w:rsidRDefault="00D114FD" w:rsidP="004D427C">
            <w:pPr>
              <w:spacing w:after="0" w:line="240" w:lineRule="auto"/>
              <w:jc w:val="center"/>
              <w:rPr>
                <w:rFonts w:ascii="Times New Roman" w:eastAsia="Times New Roman" w:hAnsi="Times New Roman"/>
                <w:color w:val="000000"/>
                <w:sz w:val="16"/>
                <w:szCs w:val="16"/>
                <w:lang w:eastAsia="en-GB"/>
              </w:rPr>
            </w:pPr>
            <w:r>
              <w:rPr>
                <w:rFonts w:ascii="Times New Roman" w:eastAsia="Times New Roman" w:hAnsi="Times New Roman"/>
                <w:color w:val="000000"/>
                <w:sz w:val="16"/>
                <w:szCs w:val="16"/>
                <w:lang w:eastAsia="en-GB"/>
              </w:rPr>
              <w:t>BBB (vintage 2006-01)</w:t>
            </w:r>
          </w:p>
        </w:tc>
        <w:tc>
          <w:tcPr>
            <w:tcW w:w="907" w:type="dxa"/>
            <w:tcBorders>
              <w:top w:val="nil"/>
              <w:left w:val="nil"/>
              <w:bottom w:val="single" w:sz="4" w:space="0" w:color="auto"/>
              <w:right w:val="single" w:sz="4" w:space="0" w:color="auto"/>
            </w:tcBorders>
            <w:vAlign w:val="center"/>
            <w:hideMark/>
          </w:tcPr>
          <w:p w:rsidR="00A96C90" w:rsidRDefault="00D114FD" w:rsidP="004D427C">
            <w:pPr>
              <w:spacing w:after="0" w:line="240" w:lineRule="auto"/>
              <w:jc w:val="center"/>
              <w:rPr>
                <w:rFonts w:ascii="Times New Roman" w:eastAsia="Times New Roman" w:hAnsi="Times New Roman"/>
                <w:color w:val="000000"/>
                <w:sz w:val="16"/>
                <w:szCs w:val="16"/>
                <w:lang w:eastAsia="en-GB"/>
              </w:rPr>
            </w:pPr>
            <w:r>
              <w:rPr>
                <w:rFonts w:ascii="Times New Roman" w:eastAsia="Times New Roman" w:hAnsi="Times New Roman"/>
                <w:color w:val="000000"/>
                <w:sz w:val="16"/>
                <w:szCs w:val="16"/>
                <w:lang w:eastAsia="en-GB"/>
              </w:rPr>
              <w:t>BBB- (vintage</w:t>
            </w:r>
          </w:p>
          <w:p w:rsidR="00D114FD" w:rsidRDefault="00D114FD" w:rsidP="004D427C">
            <w:pPr>
              <w:spacing w:after="0" w:line="240" w:lineRule="auto"/>
              <w:jc w:val="center"/>
              <w:rPr>
                <w:rFonts w:ascii="Times New Roman" w:eastAsia="Times New Roman" w:hAnsi="Times New Roman"/>
                <w:color w:val="000000"/>
                <w:sz w:val="16"/>
                <w:szCs w:val="16"/>
                <w:lang w:eastAsia="en-GB"/>
              </w:rPr>
            </w:pPr>
            <w:r>
              <w:rPr>
                <w:rFonts w:ascii="Times New Roman" w:eastAsia="Times New Roman" w:hAnsi="Times New Roman"/>
                <w:color w:val="000000"/>
                <w:sz w:val="16"/>
                <w:szCs w:val="16"/>
                <w:lang w:eastAsia="en-GB"/>
              </w:rPr>
              <w:t xml:space="preserve"> 2006-02)</w:t>
            </w:r>
          </w:p>
        </w:tc>
        <w:tc>
          <w:tcPr>
            <w:tcW w:w="885" w:type="dxa"/>
            <w:tcBorders>
              <w:top w:val="nil"/>
              <w:left w:val="nil"/>
              <w:bottom w:val="single" w:sz="4" w:space="0" w:color="auto"/>
              <w:right w:val="single" w:sz="4" w:space="0" w:color="auto"/>
            </w:tcBorders>
            <w:vAlign w:val="center"/>
            <w:hideMark/>
          </w:tcPr>
          <w:p w:rsidR="00D114FD" w:rsidRDefault="00D114FD" w:rsidP="004D427C">
            <w:pPr>
              <w:spacing w:after="0" w:line="240" w:lineRule="auto"/>
              <w:jc w:val="center"/>
              <w:rPr>
                <w:rFonts w:ascii="Times New Roman" w:eastAsia="Times New Roman" w:hAnsi="Times New Roman"/>
                <w:color w:val="000000"/>
                <w:sz w:val="16"/>
                <w:szCs w:val="16"/>
                <w:lang w:eastAsia="en-GB"/>
              </w:rPr>
            </w:pPr>
            <w:r>
              <w:rPr>
                <w:rFonts w:ascii="Times New Roman" w:eastAsia="Times New Roman" w:hAnsi="Times New Roman"/>
                <w:color w:val="000000"/>
                <w:sz w:val="16"/>
                <w:szCs w:val="16"/>
                <w:lang w:eastAsia="en-GB"/>
              </w:rPr>
              <w:t>BBB- (vintage 2006-02)</w:t>
            </w:r>
          </w:p>
        </w:tc>
        <w:tc>
          <w:tcPr>
            <w:tcW w:w="1701" w:type="dxa"/>
            <w:tcBorders>
              <w:top w:val="nil"/>
              <w:left w:val="nil"/>
              <w:bottom w:val="single" w:sz="4" w:space="0" w:color="auto"/>
              <w:right w:val="single" w:sz="4" w:space="0" w:color="auto"/>
            </w:tcBorders>
            <w:vAlign w:val="center"/>
            <w:hideMark/>
          </w:tcPr>
          <w:p w:rsidR="00D114FD" w:rsidRDefault="00D114FD" w:rsidP="004D427C">
            <w:pPr>
              <w:spacing w:after="0" w:line="240" w:lineRule="auto"/>
              <w:jc w:val="center"/>
              <w:rPr>
                <w:rFonts w:ascii="Times New Roman" w:eastAsia="Times New Roman" w:hAnsi="Times New Roman"/>
                <w:color w:val="000000"/>
                <w:sz w:val="16"/>
                <w:szCs w:val="16"/>
                <w:lang w:eastAsia="en-GB"/>
              </w:rPr>
            </w:pPr>
            <w:r>
              <w:rPr>
                <w:rFonts w:ascii="Times New Roman" w:eastAsia="Times New Roman" w:hAnsi="Times New Roman"/>
                <w:color w:val="000000"/>
                <w:sz w:val="16"/>
                <w:szCs w:val="16"/>
                <w:lang w:eastAsia="en-GB"/>
              </w:rPr>
              <w:t>AA</w:t>
            </w:r>
          </w:p>
          <w:p w:rsidR="00D114FD" w:rsidRDefault="00D114FD" w:rsidP="004D427C">
            <w:pPr>
              <w:spacing w:after="0" w:line="240" w:lineRule="auto"/>
              <w:jc w:val="center"/>
              <w:rPr>
                <w:rFonts w:ascii="Times New Roman" w:eastAsia="Times New Roman" w:hAnsi="Times New Roman"/>
                <w:color w:val="000000"/>
                <w:sz w:val="16"/>
                <w:szCs w:val="16"/>
                <w:lang w:eastAsia="en-GB"/>
              </w:rPr>
            </w:pPr>
            <w:r>
              <w:rPr>
                <w:rFonts w:ascii="Times New Roman" w:eastAsia="Times New Roman" w:hAnsi="Times New Roman"/>
                <w:color w:val="000000"/>
                <w:sz w:val="16"/>
                <w:szCs w:val="16"/>
                <w:lang w:eastAsia="en-GB"/>
              </w:rPr>
              <w:t>(vintage 2007-01)</w:t>
            </w:r>
          </w:p>
        </w:tc>
        <w:tc>
          <w:tcPr>
            <w:tcW w:w="1701" w:type="dxa"/>
            <w:tcBorders>
              <w:top w:val="nil"/>
              <w:left w:val="nil"/>
              <w:bottom w:val="single" w:sz="4" w:space="0" w:color="auto"/>
              <w:right w:val="single" w:sz="4" w:space="0" w:color="auto"/>
            </w:tcBorders>
            <w:vAlign w:val="center"/>
            <w:hideMark/>
          </w:tcPr>
          <w:p w:rsidR="00B91A07" w:rsidRDefault="00B91A07" w:rsidP="004D427C">
            <w:pPr>
              <w:spacing w:after="0" w:line="240" w:lineRule="auto"/>
              <w:jc w:val="center"/>
              <w:rPr>
                <w:rFonts w:ascii="Times New Roman" w:eastAsia="Times New Roman" w:hAnsi="Times New Roman"/>
                <w:color w:val="000000"/>
                <w:sz w:val="16"/>
                <w:szCs w:val="16"/>
                <w:lang w:eastAsia="en-GB"/>
              </w:rPr>
            </w:pPr>
            <w:r>
              <w:rPr>
                <w:rFonts w:ascii="Times New Roman" w:eastAsia="Times New Roman" w:hAnsi="Times New Roman"/>
                <w:color w:val="000000"/>
                <w:sz w:val="16"/>
                <w:szCs w:val="16"/>
                <w:lang w:eastAsia="en-GB"/>
              </w:rPr>
              <w:t>AA</w:t>
            </w:r>
          </w:p>
          <w:p w:rsidR="00D114FD" w:rsidRDefault="00B91A07" w:rsidP="004D427C">
            <w:pPr>
              <w:spacing w:after="0" w:line="240" w:lineRule="auto"/>
              <w:jc w:val="center"/>
              <w:rPr>
                <w:rFonts w:ascii="Times New Roman" w:eastAsia="Times New Roman" w:hAnsi="Times New Roman"/>
                <w:color w:val="000000"/>
                <w:sz w:val="16"/>
                <w:szCs w:val="16"/>
                <w:lang w:eastAsia="en-GB"/>
              </w:rPr>
            </w:pPr>
            <w:r>
              <w:rPr>
                <w:rFonts w:ascii="Times New Roman" w:eastAsia="Times New Roman" w:hAnsi="Times New Roman"/>
                <w:color w:val="000000"/>
                <w:sz w:val="16"/>
                <w:szCs w:val="16"/>
                <w:lang w:eastAsia="en-GB"/>
              </w:rPr>
              <w:t>(vintage 2007-01)</w:t>
            </w:r>
          </w:p>
        </w:tc>
        <w:tc>
          <w:tcPr>
            <w:tcW w:w="1843" w:type="dxa"/>
            <w:tcBorders>
              <w:top w:val="nil"/>
              <w:left w:val="nil"/>
              <w:bottom w:val="single" w:sz="4" w:space="0" w:color="auto"/>
              <w:right w:val="single" w:sz="4" w:space="0" w:color="auto"/>
            </w:tcBorders>
            <w:vAlign w:val="center"/>
            <w:hideMark/>
          </w:tcPr>
          <w:p w:rsidR="00D114FD" w:rsidRDefault="00D114FD" w:rsidP="004D427C">
            <w:pPr>
              <w:spacing w:after="0" w:line="240" w:lineRule="auto"/>
              <w:jc w:val="center"/>
              <w:rPr>
                <w:rFonts w:ascii="Times New Roman" w:eastAsia="Times New Roman" w:hAnsi="Times New Roman"/>
                <w:color w:val="000000"/>
                <w:sz w:val="16"/>
                <w:szCs w:val="16"/>
                <w:lang w:eastAsia="en-GB"/>
              </w:rPr>
            </w:pPr>
            <w:r>
              <w:rPr>
                <w:rFonts w:ascii="Times New Roman" w:eastAsia="Times New Roman" w:hAnsi="Times New Roman"/>
                <w:color w:val="000000"/>
                <w:sz w:val="16"/>
                <w:szCs w:val="16"/>
                <w:lang w:eastAsia="en-GB"/>
              </w:rPr>
              <w:t>AA</w:t>
            </w:r>
          </w:p>
          <w:p w:rsidR="00D114FD" w:rsidRDefault="00D114FD" w:rsidP="004D427C">
            <w:pPr>
              <w:spacing w:after="0" w:line="240" w:lineRule="auto"/>
              <w:jc w:val="center"/>
              <w:rPr>
                <w:rFonts w:ascii="Times New Roman" w:eastAsia="Times New Roman" w:hAnsi="Times New Roman"/>
                <w:color w:val="000000"/>
                <w:sz w:val="16"/>
                <w:szCs w:val="16"/>
                <w:lang w:eastAsia="en-GB"/>
              </w:rPr>
            </w:pPr>
            <w:r>
              <w:rPr>
                <w:rFonts w:ascii="Times New Roman" w:eastAsia="Times New Roman" w:hAnsi="Times New Roman"/>
                <w:color w:val="000000"/>
                <w:sz w:val="16"/>
                <w:szCs w:val="16"/>
                <w:lang w:eastAsia="en-GB"/>
              </w:rPr>
              <w:t>(vintage 2007-02)</w:t>
            </w:r>
          </w:p>
        </w:tc>
      </w:tr>
      <w:tr w:rsidR="00D114FD" w:rsidTr="00A96C90">
        <w:trPr>
          <w:trHeight w:val="465"/>
        </w:trPr>
        <w:tc>
          <w:tcPr>
            <w:tcW w:w="1323" w:type="dxa"/>
            <w:tcBorders>
              <w:top w:val="single" w:sz="4" w:space="0" w:color="auto"/>
              <w:left w:val="single" w:sz="4" w:space="0" w:color="auto"/>
              <w:bottom w:val="single" w:sz="4" w:space="0" w:color="auto"/>
              <w:right w:val="single" w:sz="4" w:space="0" w:color="auto"/>
            </w:tcBorders>
            <w:vAlign w:val="bottom"/>
            <w:hideMark/>
          </w:tcPr>
          <w:p w:rsidR="00D114FD" w:rsidRDefault="00D114FD">
            <w:pPr>
              <w:spacing w:after="0" w:line="240" w:lineRule="auto"/>
              <w:rPr>
                <w:rFonts w:ascii="Times New Roman" w:eastAsia="Times New Roman" w:hAnsi="Times New Roman"/>
                <w:b/>
                <w:bCs/>
                <w:color w:val="000000"/>
                <w:sz w:val="16"/>
                <w:szCs w:val="16"/>
                <w:lang w:eastAsia="en-GB"/>
              </w:rPr>
            </w:pPr>
            <w:r>
              <w:rPr>
                <w:rFonts w:ascii="Times New Roman" w:eastAsia="Times New Roman" w:hAnsi="Times New Roman"/>
                <w:b/>
                <w:bCs/>
                <w:color w:val="000000"/>
                <w:sz w:val="16"/>
                <w:szCs w:val="16"/>
                <w:lang w:eastAsia="en-GB"/>
              </w:rPr>
              <w:t>9.</w:t>
            </w:r>
            <w:r>
              <w:rPr>
                <w:rFonts w:ascii="Times New Roman" w:eastAsia="Times New Roman" w:hAnsi="Times New Roman"/>
                <w:color w:val="000000"/>
                <w:sz w:val="16"/>
                <w:szCs w:val="16"/>
                <w:lang w:eastAsia="en-GB"/>
              </w:rPr>
              <w:t>CDS-Basis (bps)</w:t>
            </w:r>
          </w:p>
        </w:tc>
        <w:tc>
          <w:tcPr>
            <w:tcW w:w="840" w:type="dxa"/>
            <w:tcBorders>
              <w:top w:val="nil"/>
              <w:left w:val="nil"/>
              <w:bottom w:val="single" w:sz="4" w:space="0" w:color="auto"/>
              <w:right w:val="single" w:sz="4" w:space="0" w:color="auto"/>
            </w:tcBorders>
            <w:vAlign w:val="center"/>
            <w:hideMark/>
          </w:tcPr>
          <w:p w:rsidR="00D114FD" w:rsidRDefault="00D114FD" w:rsidP="004D427C">
            <w:pPr>
              <w:spacing w:after="0" w:line="240" w:lineRule="auto"/>
              <w:jc w:val="center"/>
              <w:rPr>
                <w:rFonts w:ascii="Times New Roman" w:eastAsia="Times New Roman" w:hAnsi="Times New Roman"/>
                <w:color w:val="000000"/>
                <w:sz w:val="16"/>
                <w:szCs w:val="16"/>
                <w:lang w:eastAsia="en-GB"/>
              </w:rPr>
            </w:pPr>
            <w:r>
              <w:rPr>
                <w:rFonts w:ascii="Times New Roman" w:eastAsia="Times New Roman" w:hAnsi="Times New Roman"/>
                <w:color w:val="000000"/>
                <w:sz w:val="16"/>
                <w:szCs w:val="16"/>
                <w:lang w:eastAsia="en-GB"/>
              </w:rPr>
              <w:t>-230.05</w:t>
            </w:r>
          </w:p>
        </w:tc>
        <w:tc>
          <w:tcPr>
            <w:tcW w:w="880" w:type="dxa"/>
            <w:tcBorders>
              <w:top w:val="nil"/>
              <w:left w:val="nil"/>
              <w:bottom w:val="single" w:sz="4" w:space="0" w:color="auto"/>
              <w:right w:val="single" w:sz="4" w:space="0" w:color="auto"/>
            </w:tcBorders>
            <w:vAlign w:val="center"/>
            <w:hideMark/>
          </w:tcPr>
          <w:p w:rsidR="00D114FD" w:rsidRDefault="00D114FD" w:rsidP="004D427C">
            <w:pPr>
              <w:spacing w:after="0" w:line="240" w:lineRule="auto"/>
              <w:jc w:val="center"/>
              <w:rPr>
                <w:rFonts w:ascii="Times New Roman" w:eastAsia="Times New Roman" w:hAnsi="Times New Roman"/>
                <w:color w:val="000000"/>
                <w:sz w:val="16"/>
                <w:szCs w:val="16"/>
                <w:lang w:eastAsia="en-GB"/>
              </w:rPr>
            </w:pPr>
            <w:r>
              <w:rPr>
                <w:rFonts w:ascii="Times New Roman" w:eastAsia="Times New Roman" w:hAnsi="Times New Roman"/>
                <w:color w:val="000000"/>
                <w:sz w:val="16"/>
                <w:szCs w:val="16"/>
                <w:lang w:eastAsia="en-GB"/>
              </w:rPr>
              <w:t>-156.86</w:t>
            </w:r>
          </w:p>
        </w:tc>
        <w:tc>
          <w:tcPr>
            <w:tcW w:w="907" w:type="dxa"/>
            <w:tcBorders>
              <w:top w:val="nil"/>
              <w:left w:val="nil"/>
              <w:bottom w:val="single" w:sz="4" w:space="0" w:color="auto"/>
              <w:right w:val="single" w:sz="4" w:space="0" w:color="auto"/>
            </w:tcBorders>
            <w:vAlign w:val="center"/>
            <w:hideMark/>
          </w:tcPr>
          <w:p w:rsidR="00D114FD" w:rsidRDefault="00D114FD" w:rsidP="004D427C">
            <w:pPr>
              <w:spacing w:after="0" w:line="240" w:lineRule="auto"/>
              <w:jc w:val="center"/>
              <w:rPr>
                <w:rFonts w:ascii="Times New Roman" w:eastAsia="Times New Roman" w:hAnsi="Times New Roman"/>
                <w:color w:val="000000"/>
                <w:sz w:val="16"/>
                <w:szCs w:val="16"/>
                <w:lang w:eastAsia="en-GB"/>
              </w:rPr>
            </w:pPr>
            <w:r>
              <w:rPr>
                <w:rFonts w:ascii="Times New Roman" w:eastAsia="Times New Roman" w:hAnsi="Times New Roman"/>
                <w:color w:val="000000"/>
                <w:sz w:val="16"/>
                <w:szCs w:val="16"/>
                <w:lang w:eastAsia="en-GB"/>
              </w:rPr>
              <w:t>-113.08</w:t>
            </w:r>
          </w:p>
        </w:tc>
        <w:tc>
          <w:tcPr>
            <w:tcW w:w="885" w:type="dxa"/>
            <w:tcBorders>
              <w:top w:val="nil"/>
              <w:left w:val="nil"/>
              <w:bottom w:val="single" w:sz="4" w:space="0" w:color="auto"/>
              <w:right w:val="single" w:sz="4" w:space="0" w:color="auto"/>
            </w:tcBorders>
            <w:vAlign w:val="center"/>
            <w:hideMark/>
          </w:tcPr>
          <w:p w:rsidR="00D114FD" w:rsidRDefault="00D114FD" w:rsidP="004D427C">
            <w:pPr>
              <w:spacing w:after="0" w:line="240" w:lineRule="auto"/>
              <w:jc w:val="center"/>
              <w:rPr>
                <w:rFonts w:ascii="Times New Roman" w:eastAsia="Times New Roman" w:hAnsi="Times New Roman"/>
                <w:color w:val="000000"/>
                <w:sz w:val="16"/>
                <w:szCs w:val="16"/>
                <w:lang w:eastAsia="en-GB"/>
              </w:rPr>
            </w:pPr>
            <w:r>
              <w:rPr>
                <w:rFonts w:ascii="Times New Roman" w:eastAsia="Times New Roman" w:hAnsi="Times New Roman"/>
                <w:color w:val="000000"/>
                <w:sz w:val="16"/>
                <w:szCs w:val="16"/>
                <w:lang w:eastAsia="en-GB"/>
              </w:rPr>
              <w:t>-101.96</w:t>
            </w:r>
          </w:p>
        </w:tc>
        <w:tc>
          <w:tcPr>
            <w:tcW w:w="1701" w:type="dxa"/>
            <w:tcBorders>
              <w:top w:val="nil"/>
              <w:left w:val="nil"/>
              <w:bottom w:val="single" w:sz="4" w:space="0" w:color="auto"/>
              <w:right w:val="single" w:sz="4" w:space="0" w:color="auto"/>
            </w:tcBorders>
            <w:vAlign w:val="center"/>
            <w:hideMark/>
          </w:tcPr>
          <w:p w:rsidR="00D114FD" w:rsidRDefault="00D114FD" w:rsidP="004D427C">
            <w:pPr>
              <w:spacing w:after="0" w:line="240" w:lineRule="auto"/>
              <w:jc w:val="center"/>
              <w:rPr>
                <w:rFonts w:ascii="Times New Roman" w:eastAsia="Times New Roman" w:hAnsi="Times New Roman"/>
                <w:color w:val="000000"/>
                <w:sz w:val="16"/>
                <w:szCs w:val="16"/>
                <w:lang w:eastAsia="en-GB"/>
              </w:rPr>
            </w:pPr>
            <w:r>
              <w:rPr>
                <w:rFonts w:ascii="Times New Roman" w:eastAsia="Times New Roman" w:hAnsi="Times New Roman"/>
                <w:color w:val="000000"/>
                <w:sz w:val="16"/>
                <w:szCs w:val="16"/>
                <w:lang w:eastAsia="en-GB"/>
              </w:rPr>
              <w:t>-44.52</w:t>
            </w:r>
          </w:p>
        </w:tc>
        <w:tc>
          <w:tcPr>
            <w:tcW w:w="1701" w:type="dxa"/>
            <w:tcBorders>
              <w:top w:val="nil"/>
              <w:left w:val="nil"/>
              <w:bottom w:val="single" w:sz="4" w:space="0" w:color="auto"/>
              <w:right w:val="single" w:sz="4" w:space="0" w:color="auto"/>
            </w:tcBorders>
            <w:vAlign w:val="center"/>
            <w:hideMark/>
          </w:tcPr>
          <w:p w:rsidR="00D114FD" w:rsidRDefault="00B91A07" w:rsidP="004D427C">
            <w:pPr>
              <w:spacing w:after="0" w:line="240" w:lineRule="auto"/>
              <w:jc w:val="center"/>
              <w:rPr>
                <w:rFonts w:ascii="Times New Roman" w:eastAsia="Times New Roman" w:hAnsi="Times New Roman"/>
                <w:color w:val="000000"/>
                <w:sz w:val="16"/>
                <w:szCs w:val="16"/>
                <w:lang w:eastAsia="en-GB"/>
              </w:rPr>
            </w:pPr>
            <w:r>
              <w:rPr>
                <w:rFonts w:ascii="Times New Roman" w:eastAsia="Times New Roman" w:hAnsi="Times New Roman"/>
                <w:color w:val="000000"/>
                <w:sz w:val="16"/>
                <w:szCs w:val="16"/>
                <w:lang w:eastAsia="en-GB"/>
              </w:rPr>
              <w:t>-73.92</w:t>
            </w:r>
          </w:p>
        </w:tc>
        <w:tc>
          <w:tcPr>
            <w:tcW w:w="1843" w:type="dxa"/>
            <w:tcBorders>
              <w:top w:val="nil"/>
              <w:left w:val="nil"/>
              <w:bottom w:val="single" w:sz="4" w:space="0" w:color="auto"/>
              <w:right w:val="single" w:sz="4" w:space="0" w:color="auto"/>
            </w:tcBorders>
            <w:vAlign w:val="center"/>
            <w:hideMark/>
          </w:tcPr>
          <w:p w:rsidR="00D114FD" w:rsidRDefault="00D114FD" w:rsidP="004D427C">
            <w:pPr>
              <w:spacing w:after="0" w:line="240" w:lineRule="auto"/>
              <w:jc w:val="center"/>
              <w:rPr>
                <w:rFonts w:ascii="Times New Roman" w:eastAsia="Times New Roman" w:hAnsi="Times New Roman"/>
                <w:color w:val="000000"/>
                <w:sz w:val="16"/>
                <w:szCs w:val="16"/>
                <w:lang w:eastAsia="en-GB"/>
              </w:rPr>
            </w:pPr>
            <w:r>
              <w:rPr>
                <w:rFonts w:ascii="Times New Roman" w:eastAsia="Times New Roman" w:hAnsi="Times New Roman"/>
                <w:color w:val="000000"/>
                <w:sz w:val="16"/>
                <w:szCs w:val="16"/>
                <w:lang w:eastAsia="en-GB"/>
              </w:rPr>
              <w:t>145.97</w:t>
            </w:r>
          </w:p>
        </w:tc>
      </w:tr>
      <w:tr w:rsidR="00DA5012" w:rsidTr="00A96C90">
        <w:trPr>
          <w:trHeight w:val="772"/>
        </w:trPr>
        <w:tc>
          <w:tcPr>
            <w:tcW w:w="1323" w:type="dxa"/>
            <w:tcBorders>
              <w:top w:val="nil"/>
              <w:left w:val="single" w:sz="4" w:space="0" w:color="auto"/>
              <w:bottom w:val="single" w:sz="4" w:space="0" w:color="auto"/>
              <w:right w:val="single" w:sz="4" w:space="0" w:color="auto"/>
            </w:tcBorders>
            <w:vAlign w:val="bottom"/>
            <w:hideMark/>
          </w:tcPr>
          <w:p w:rsidR="00DA5012" w:rsidRDefault="00DA5012" w:rsidP="00DA5012">
            <w:pPr>
              <w:spacing w:after="0" w:line="240" w:lineRule="auto"/>
              <w:rPr>
                <w:rFonts w:ascii="Times New Roman" w:eastAsia="Times New Roman" w:hAnsi="Times New Roman"/>
                <w:b/>
                <w:bCs/>
                <w:color w:val="000000"/>
                <w:sz w:val="16"/>
                <w:szCs w:val="16"/>
                <w:lang w:eastAsia="en-GB"/>
              </w:rPr>
            </w:pPr>
            <w:r>
              <w:rPr>
                <w:rFonts w:ascii="Times New Roman" w:eastAsia="Times New Roman" w:hAnsi="Times New Roman"/>
                <w:b/>
                <w:bCs/>
                <w:color w:val="000000"/>
                <w:sz w:val="16"/>
                <w:szCs w:val="16"/>
                <w:lang w:eastAsia="en-GB"/>
              </w:rPr>
              <w:t>10.</w:t>
            </w:r>
            <w:r>
              <w:rPr>
                <w:rFonts w:ascii="Times New Roman" w:eastAsia="Times New Roman" w:hAnsi="Times New Roman"/>
                <w:color w:val="000000"/>
                <w:sz w:val="16"/>
                <w:szCs w:val="16"/>
                <w:lang w:eastAsia="en-GB"/>
              </w:rPr>
              <w:t>US $ 3 month Libor</w:t>
            </w:r>
            <w:r>
              <w:rPr>
                <w:rFonts w:ascii="Times New Roman" w:eastAsia="Times New Roman" w:hAnsi="Times New Roman"/>
                <w:color w:val="000000"/>
                <w:sz w:val="16"/>
                <w:szCs w:val="16"/>
                <w:vertAlign w:val="subscript"/>
                <w:lang w:eastAsia="en-GB"/>
              </w:rPr>
              <w:t xml:space="preserve">    </w:t>
            </w:r>
            <w:r>
              <w:rPr>
                <w:rFonts w:ascii="Times New Roman" w:eastAsia="Times New Roman" w:hAnsi="Times New Roman"/>
                <w:color w:val="000000"/>
                <w:sz w:val="16"/>
                <w:szCs w:val="16"/>
                <w:lang w:eastAsia="en-GB"/>
              </w:rPr>
              <w:t xml:space="preserve">+ 180 </w:t>
            </w:r>
            <w:proofErr w:type="spellStart"/>
            <w:r>
              <w:rPr>
                <w:rFonts w:ascii="Times New Roman" w:eastAsia="Times New Roman" w:hAnsi="Times New Roman"/>
                <w:color w:val="000000"/>
                <w:sz w:val="16"/>
                <w:szCs w:val="16"/>
                <w:lang w:eastAsia="en-GB"/>
              </w:rPr>
              <w:t>bp</w:t>
            </w:r>
            <w:proofErr w:type="spellEnd"/>
            <w:r>
              <w:rPr>
                <w:rFonts w:ascii="Times New Roman" w:eastAsia="Times New Roman" w:hAnsi="Times New Roman"/>
                <w:color w:val="000000"/>
                <w:sz w:val="16"/>
                <w:szCs w:val="16"/>
                <w:lang w:eastAsia="en-GB"/>
              </w:rPr>
              <w:t xml:space="preserve"> +160 </w:t>
            </w:r>
            <w:proofErr w:type="spellStart"/>
            <w:r>
              <w:rPr>
                <w:rFonts w:ascii="Times New Roman" w:eastAsia="Times New Roman" w:hAnsi="Times New Roman"/>
                <w:color w:val="000000"/>
                <w:sz w:val="16"/>
                <w:szCs w:val="16"/>
                <w:lang w:eastAsia="en-GB"/>
              </w:rPr>
              <w:t>bp</w:t>
            </w:r>
            <w:proofErr w:type="spellEnd"/>
            <w:r>
              <w:rPr>
                <w:rFonts w:ascii="Times New Roman" w:eastAsia="Times New Roman" w:hAnsi="Times New Roman"/>
                <w:color w:val="000000"/>
                <w:sz w:val="16"/>
                <w:szCs w:val="16"/>
                <w:lang w:eastAsia="en-GB"/>
              </w:rPr>
              <w:t xml:space="preserve"> capital charge</w:t>
            </w:r>
          </w:p>
        </w:tc>
        <w:tc>
          <w:tcPr>
            <w:tcW w:w="840" w:type="dxa"/>
            <w:tcBorders>
              <w:top w:val="nil"/>
              <w:left w:val="nil"/>
              <w:bottom w:val="single" w:sz="4" w:space="0" w:color="auto"/>
              <w:right w:val="single" w:sz="4" w:space="0" w:color="auto"/>
            </w:tcBorders>
            <w:vAlign w:val="center"/>
            <w:hideMark/>
          </w:tcPr>
          <w:p w:rsidR="00DA5012" w:rsidRDefault="00DA5012" w:rsidP="00DA5012">
            <w:pPr>
              <w:spacing w:after="0" w:line="240" w:lineRule="auto"/>
              <w:jc w:val="center"/>
              <w:rPr>
                <w:rFonts w:ascii="Times New Roman" w:eastAsia="Times New Roman" w:hAnsi="Times New Roman"/>
                <w:color w:val="000000"/>
                <w:sz w:val="16"/>
                <w:szCs w:val="16"/>
                <w:lang w:eastAsia="en-GB"/>
              </w:rPr>
            </w:pPr>
            <w:r>
              <w:rPr>
                <w:rFonts w:ascii="Times New Roman" w:eastAsia="Times New Roman" w:hAnsi="Times New Roman"/>
                <w:color w:val="000000"/>
                <w:sz w:val="16"/>
                <w:szCs w:val="16"/>
                <w:lang w:eastAsia="en-GB"/>
              </w:rPr>
              <w:t>8.39%</w:t>
            </w:r>
          </w:p>
        </w:tc>
        <w:tc>
          <w:tcPr>
            <w:tcW w:w="880" w:type="dxa"/>
            <w:tcBorders>
              <w:top w:val="nil"/>
              <w:left w:val="nil"/>
              <w:bottom w:val="single" w:sz="4" w:space="0" w:color="auto"/>
              <w:right w:val="single" w:sz="4" w:space="0" w:color="auto"/>
            </w:tcBorders>
            <w:vAlign w:val="center"/>
            <w:hideMark/>
          </w:tcPr>
          <w:p w:rsidR="00DA5012" w:rsidRDefault="00DA5012" w:rsidP="00DA5012">
            <w:pPr>
              <w:spacing w:after="0" w:line="240" w:lineRule="auto"/>
              <w:jc w:val="center"/>
              <w:rPr>
                <w:rFonts w:ascii="Times New Roman" w:eastAsia="Times New Roman" w:hAnsi="Times New Roman"/>
                <w:color w:val="000000"/>
                <w:sz w:val="16"/>
                <w:szCs w:val="16"/>
                <w:lang w:eastAsia="en-GB"/>
              </w:rPr>
            </w:pPr>
            <w:r>
              <w:rPr>
                <w:rFonts w:ascii="Times New Roman" w:eastAsia="Times New Roman" w:hAnsi="Times New Roman"/>
                <w:color w:val="000000"/>
                <w:sz w:val="16"/>
                <w:szCs w:val="16"/>
                <w:lang w:eastAsia="en-GB"/>
              </w:rPr>
              <w:t>8.91%</w:t>
            </w:r>
          </w:p>
        </w:tc>
        <w:tc>
          <w:tcPr>
            <w:tcW w:w="907" w:type="dxa"/>
            <w:tcBorders>
              <w:top w:val="nil"/>
              <w:left w:val="nil"/>
              <w:bottom w:val="single" w:sz="4" w:space="0" w:color="auto"/>
              <w:right w:val="single" w:sz="4" w:space="0" w:color="auto"/>
            </w:tcBorders>
            <w:vAlign w:val="center"/>
            <w:hideMark/>
          </w:tcPr>
          <w:p w:rsidR="00DA5012" w:rsidRDefault="00DA5012" w:rsidP="00DA5012">
            <w:pPr>
              <w:spacing w:after="0" w:line="240" w:lineRule="auto"/>
              <w:jc w:val="center"/>
              <w:rPr>
                <w:rFonts w:ascii="Times New Roman" w:eastAsia="Times New Roman" w:hAnsi="Times New Roman"/>
                <w:color w:val="000000"/>
                <w:sz w:val="16"/>
                <w:szCs w:val="16"/>
                <w:lang w:eastAsia="en-GB"/>
              </w:rPr>
            </w:pPr>
            <w:r>
              <w:rPr>
                <w:rFonts w:ascii="Times New Roman" w:eastAsia="Times New Roman" w:hAnsi="Times New Roman"/>
                <w:color w:val="000000"/>
                <w:sz w:val="16"/>
                <w:szCs w:val="16"/>
                <w:lang w:eastAsia="en-GB"/>
              </w:rPr>
              <w:t>8.77%</w:t>
            </w:r>
          </w:p>
        </w:tc>
        <w:tc>
          <w:tcPr>
            <w:tcW w:w="885" w:type="dxa"/>
            <w:tcBorders>
              <w:top w:val="nil"/>
              <w:left w:val="nil"/>
              <w:bottom w:val="single" w:sz="4" w:space="0" w:color="auto"/>
              <w:right w:val="single" w:sz="4" w:space="0" w:color="auto"/>
            </w:tcBorders>
            <w:vAlign w:val="center"/>
            <w:hideMark/>
          </w:tcPr>
          <w:p w:rsidR="00DA5012" w:rsidRDefault="00DA5012" w:rsidP="00DA5012">
            <w:pPr>
              <w:spacing w:after="0" w:line="240" w:lineRule="auto"/>
              <w:jc w:val="center"/>
              <w:rPr>
                <w:rFonts w:ascii="Times New Roman" w:eastAsia="Times New Roman" w:hAnsi="Times New Roman"/>
                <w:color w:val="000000"/>
                <w:sz w:val="16"/>
                <w:szCs w:val="16"/>
                <w:lang w:eastAsia="en-GB"/>
              </w:rPr>
            </w:pPr>
            <w:r>
              <w:rPr>
                <w:rFonts w:ascii="Times New Roman" w:eastAsia="Times New Roman" w:hAnsi="Times New Roman"/>
                <w:color w:val="000000"/>
                <w:sz w:val="16"/>
                <w:szCs w:val="16"/>
                <w:lang w:eastAsia="en-GB"/>
              </w:rPr>
              <w:t>8.76%</w:t>
            </w:r>
          </w:p>
        </w:tc>
        <w:tc>
          <w:tcPr>
            <w:tcW w:w="1701" w:type="dxa"/>
            <w:tcBorders>
              <w:top w:val="nil"/>
              <w:left w:val="nil"/>
              <w:bottom w:val="single" w:sz="4" w:space="0" w:color="auto"/>
              <w:right w:val="single" w:sz="4" w:space="0" w:color="auto"/>
            </w:tcBorders>
            <w:vAlign w:val="center"/>
            <w:hideMark/>
          </w:tcPr>
          <w:p w:rsidR="00DA5012" w:rsidRDefault="00DA5012" w:rsidP="00DA5012">
            <w:pPr>
              <w:spacing w:after="0" w:line="240" w:lineRule="auto"/>
              <w:jc w:val="center"/>
              <w:rPr>
                <w:rFonts w:ascii="Times New Roman" w:eastAsia="Times New Roman" w:hAnsi="Times New Roman"/>
                <w:color w:val="000000"/>
                <w:sz w:val="16"/>
                <w:szCs w:val="16"/>
                <w:lang w:eastAsia="en-GB"/>
              </w:rPr>
            </w:pPr>
            <w:r>
              <w:rPr>
                <w:rFonts w:ascii="Times New Roman" w:eastAsia="Times New Roman" w:hAnsi="Times New Roman"/>
                <w:color w:val="000000"/>
                <w:sz w:val="16"/>
                <w:szCs w:val="16"/>
                <w:lang w:eastAsia="en-GB"/>
              </w:rPr>
              <w:t>8.87%</w:t>
            </w:r>
          </w:p>
        </w:tc>
        <w:tc>
          <w:tcPr>
            <w:tcW w:w="1701" w:type="dxa"/>
            <w:tcBorders>
              <w:top w:val="nil"/>
              <w:left w:val="nil"/>
              <w:bottom w:val="single" w:sz="4" w:space="0" w:color="auto"/>
              <w:right w:val="single" w:sz="4" w:space="0" w:color="auto"/>
            </w:tcBorders>
            <w:vAlign w:val="center"/>
            <w:hideMark/>
          </w:tcPr>
          <w:p w:rsidR="00DA5012" w:rsidRDefault="00DA5012" w:rsidP="00DA5012">
            <w:pPr>
              <w:spacing w:after="0" w:line="240" w:lineRule="auto"/>
              <w:jc w:val="center"/>
              <w:rPr>
                <w:rFonts w:ascii="Times New Roman" w:eastAsia="Times New Roman" w:hAnsi="Times New Roman"/>
                <w:color w:val="000000"/>
                <w:sz w:val="16"/>
                <w:szCs w:val="16"/>
                <w:lang w:eastAsia="en-GB"/>
              </w:rPr>
            </w:pPr>
            <w:r>
              <w:rPr>
                <w:rFonts w:ascii="Times New Roman" w:eastAsia="Times New Roman" w:hAnsi="Times New Roman"/>
                <w:color w:val="000000"/>
                <w:sz w:val="16"/>
                <w:szCs w:val="16"/>
                <w:lang w:eastAsia="en-GB"/>
              </w:rPr>
              <w:t>8.76%</w:t>
            </w:r>
          </w:p>
        </w:tc>
        <w:tc>
          <w:tcPr>
            <w:tcW w:w="1843" w:type="dxa"/>
            <w:tcBorders>
              <w:top w:val="nil"/>
              <w:left w:val="nil"/>
              <w:bottom w:val="single" w:sz="4" w:space="0" w:color="auto"/>
              <w:right w:val="single" w:sz="4" w:space="0" w:color="auto"/>
            </w:tcBorders>
            <w:vAlign w:val="center"/>
            <w:hideMark/>
          </w:tcPr>
          <w:p w:rsidR="00DA5012" w:rsidRDefault="00DA5012" w:rsidP="00DA5012">
            <w:pPr>
              <w:spacing w:after="0" w:line="240" w:lineRule="auto"/>
              <w:jc w:val="center"/>
              <w:rPr>
                <w:rFonts w:ascii="Times New Roman" w:eastAsia="Times New Roman" w:hAnsi="Times New Roman"/>
                <w:color w:val="000000"/>
                <w:sz w:val="16"/>
                <w:szCs w:val="16"/>
                <w:lang w:eastAsia="en-GB"/>
              </w:rPr>
            </w:pPr>
            <w:r>
              <w:rPr>
                <w:rFonts w:ascii="Times New Roman" w:eastAsia="Times New Roman" w:hAnsi="Times New Roman"/>
                <w:color w:val="000000"/>
                <w:sz w:val="16"/>
                <w:szCs w:val="16"/>
                <w:lang w:eastAsia="en-GB"/>
              </w:rPr>
              <w:t>9.02%</w:t>
            </w:r>
          </w:p>
        </w:tc>
      </w:tr>
    </w:tbl>
    <w:p w:rsidR="008E01BA" w:rsidRDefault="008E01BA" w:rsidP="008E01BA">
      <w:pPr>
        <w:rPr>
          <w:rFonts w:asciiTheme="minorHAnsi" w:hAnsiTheme="minorHAnsi" w:cstheme="minorBidi"/>
        </w:rPr>
      </w:pPr>
    </w:p>
    <w:p w:rsidR="00D83846" w:rsidRDefault="00EA75DA" w:rsidP="00D83846">
      <w:pPr>
        <w:spacing w:line="360" w:lineRule="auto"/>
        <w:outlineLvl w:val="0"/>
        <w:rPr>
          <w:rStyle w:val="Emphasis"/>
          <w:rFonts w:ascii="Times New Roman" w:hAnsi="Times New Roman"/>
          <w:i w:val="0"/>
        </w:rPr>
      </w:pPr>
      <w:proofErr w:type="gramStart"/>
      <w:r w:rsidRPr="000D645F">
        <w:rPr>
          <w:rFonts w:ascii="Times New Roman" w:hAnsi="Times New Roman"/>
          <w:b/>
        </w:rPr>
        <w:t>5</w:t>
      </w:r>
      <w:r w:rsidR="00672DD5" w:rsidRPr="000D645F">
        <w:rPr>
          <w:rFonts w:ascii="Times New Roman" w:hAnsi="Times New Roman"/>
          <w:b/>
        </w:rPr>
        <w:t>.2  Simulated</w:t>
      </w:r>
      <w:proofErr w:type="gramEnd"/>
      <w:r w:rsidR="00672DD5" w:rsidRPr="000D645F">
        <w:rPr>
          <w:rFonts w:ascii="Times New Roman" w:hAnsi="Times New Roman"/>
          <w:b/>
        </w:rPr>
        <w:t xml:space="preserve"> Growth of CDS Demand For Capital Reduction</w:t>
      </w:r>
      <w:r w:rsidR="0076310C" w:rsidRPr="000D645F">
        <w:rPr>
          <w:rFonts w:ascii="Times New Roman" w:hAnsi="Times New Roman"/>
          <w:b/>
        </w:rPr>
        <w:t xml:space="preserve"> and Network of CDS Obligations of US banks</w:t>
      </w:r>
      <w:r w:rsidR="00672DD5" w:rsidRPr="000D645F">
        <w:rPr>
          <w:rFonts w:ascii="Times New Roman" w:hAnsi="Times New Roman"/>
          <w:b/>
        </w:rPr>
        <w:br/>
      </w:r>
      <w:r w:rsidR="00672DD5" w:rsidRPr="00EC7CCF">
        <w:rPr>
          <w:rFonts w:ascii="Times New Roman" w:hAnsi="Times New Roman"/>
        </w:rPr>
        <w:t xml:space="preserve">In Figure </w:t>
      </w:r>
      <w:r w:rsidR="00EC7CCF" w:rsidRPr="00EC7CCF">
        <w:rPr>
          <w:rFonts w:ascii="Times New Roman" w:hAnsi="Times New Roman"/>
        </w:rPr>
        <w:t xml:space="preserve">3 </w:t>
      </w:r>
      <w:r w:rsidR="00EC7CCF">
        <w:rPr>
          <w:rFonts w:ascii="Times New Roman" w:hAnsi="Times New Roman"/>
        </w:rPr>
        <w:t xml:space="preserve">we saw that even in 2009 Q2 FDIC banks </w:t>
      </w:r>
      <w:r w:rsidR="00D114FD">
        <w:rPr>
          <w:rFonts w:ascii="Times New Roman" w:hAnsi="Times New Roman"/>
        </w:rPr>
        <w:t xml:space="preserve">reported </w:t>
      </w:r>
      <w:r w:rsidR="00EC7CCF">
        <w:rPr>
          <w:rFonts w:ascii="Times New Roman" w:hAnsi="Times New Roman"/>
        </w:rPr>
        <w:t xml:space="preserve">quite substantial demand for CDS for purposes of capital reduction from CRT.  </w:t>
      </w:r>
      <w:r w:rsidR="00330840">
        <w:rPr>
          <w:rFonts w:ascii="Times New Roman" w:hAnsi="Times New Roman"/>
        </w:rPr>
        <w:t>The upshot of the simulation</w:t>
      </w:r>
      <w:r w:rsidR="0076310C">
        <w:rPr>
          <w:rFonts w:ascii="Times New Roman" w:hAnsi="Times New Roman"/>
        </w:rPr>
        <w:t xml:space="preserve"> above </w:t>
      </w:r>
      <w:r w:rsidR="00330840">
        <w:rPr>
          <w:rFonts w:ascii="Times New Roman" w:hAnsi="Times New Roman"/>
        </w:rPr>
        <w:t>is that the US banks accumulated</w:t>
      </w:r>
      <w:r w:rsidR="00EC7CCF">
        <w:rPr>
          <w:rFonts w:ascii="Times New Roman" w:hAnsi="Times New Roman"/>
        </w:rPr>
        <w:t xml:space="preserve"> in each quarter</w:t>
      </w:r>
      <w:r w:rsidR="00330840">
        <w:rPr>
          <w:rFonts w:ascii="Times New Roman" w:hAnsi="Times New Roman"/>
        </w:rPr>
        <w:t xml:space="preserve"> </w:t>
      </w:r>
      <w:r w:rsidR="00EC7CCF">
        <w:rPr>
          <w:rFonts w:ascii="Times New Roman" w:hAnsi="Times New Roman"/>
        </w:rPr>
        <w:t>between $361.4b</w:t>
      </w:r>
      <w:r w:rsidR="00FE6E1A">
        <w:rPr>
          <w:rFonts w:ascii="Times New Roman" w:hAnsi="Times New Roman"/>
        </w:rPr>
        <w:t>illio</w:t>
      </w:r>
      <w:r w:rsidR="00EC7CCF">
        <w:rPr>
          <w:rFonts w:ascii="Times New Roman" w:hAnsi="Times New Roman"/>
        </w:rPr>
        <w:t xml:space="preserve">n </w:t>
      </w:r>
      <w:r w:rsidR="00813E95">
        <w:rPr>
          <w:rFonts w:ascii="Times New Roman" w:hAnsi="Times New Roman"/>
        </w:rPr>
        <w:t xml:space="preserve">in </w:t>
      </w:r>
      <w:r w:rsidR="00F86614">
        <w:rPr>
          <w:rFonts w:ascii="Times New Roman" w:hAnsi="Times New Roman"/>
        </w:rPr>
        <w:t>2</w:t>
      </w:r>
      <w:r w:rsidR="00813E95">
        <w:rPr>
          <w:rFonts w:ascii="Times New Roman" w:hAnsi="Times New Roman"/>
        </w:rPr>
        <w:t xml:space="preserve">006 Q1 </w:t>
      </w:r>
      <w:r w:rsidR="00EC7CCF">
        <w:rPr>
          <w:rFonts w:ascii="Times New Roman" w:hAnsi="Times New Roman"/>
        </w:rPr>
        <w:t>to $448.6b</w:t>
      </w:r>
      <w:r w:rsidR="00D76217">
        <w:rPr>
          <w:rFonts w:ascii="Times New Roman" w:hAnsi="Times New Roman"/>
        </w:rPr>
        <w:t>illio</w:t>
      </w:r>
      <w:r w:rsidR="00EC7CCF">
        <w:rPr>
          <w:rFonts w:ascii="Times New Roman" w:hAnsi="Times New Roman"/>
        </w:rPr>
        <w:t xml:space="preserve">n in 2007 Q3 (see Table 2, row </w:t>
      </w:r>
      <w:r>
        <w:rPr>
          <w:rFonts w:ascii="Times New Roman" w:hAnsi="Times New Roman"/>
        </w:rPr>
        <w:t>7</w:t>
      </w:r>
      <w:r w:rsidR="00EC7CCF">
        <w:rPr>
          <w:rFonts w:ascii="Times New Roman" w:hAnsi="Times New Roman"/>
        </w:rPr>
        <w:t xml:space="preserve">) of </w:t>
      </w:r>
      <w:r w:rsidR="00330840">
        <w:rPr>
          <w:rFonts w:ascii="Times New Roman" w:hAnsi="Times New Roman"/>
        </w:rPr>
        <w:t>gross notional of CDS purchases</w:t>
      </w:r>
      <w:r w:rsidR="00EC7CCF">
        <w:rPr>
          <w:rFonts w:ascii="Times New Roman" w:hAnsi="Times New Roman"/>
        </w:rPr>
        <w:t xml:space="preserve"> </w:t>
      </w:r>
      <w:r w:rsidR="00330840">
        <w:rPr>
          <w:rFonts w:ascii="Times New Roman" w:hAnsi="Times New Roman"/>
        </w:rPr>
        <w:t>in the form of credit</w:t>
      </w:r>
      <w:r w:rsidR="00EC7CCF">
        <w:rPr>
          <w:rFonts w:ascii="Times New Roman" w:hAnsi="Times New Roman"/>
        </w:rPr>
        <w:t xml:space="preserve"> risk</w:t>
      </w:r>
      <w:r w:rsidR="00330840">
        <w:rPr>
          <w:rFonts w:ascii="Times New Roman" w:hAnsi="Times New Roman"/>
        </w:rPr>
        <w:t xml:space="preserve"> </w:t>
      </w:r>
      <w:proofErr w:type="spellStart"/>
      <w:r w:rsidR="00330840">
        <w:rPr>
          <w:rFonts w:ascii="Times New Roman" w:hAnsi="Times New Roman"/>
        </w:rPr>
        <w:t>mitigants</w:t>
      </w:r>
      <w:proofErr w:type="spellEnd"/>
      <w:r w:rsidR="00D114FD">
        <w:rPr>
          <w:rFonts w:ascii="Times New Roman" w:hAnsi="Times New Roman"/>
        </w:rPr>
        <w:t xml:space="preserve"> to reduce capital</w:t>
      </w:r>
      <w:r w:rsidR="00EC7CCF">
        <w:rPr>
          <w:rFonts w:ascii="Times New Roman" w:hAnsi="Times New Roman"/>
        </w:rPr>
        <w:t xml:space="preserve">. </w:t>
      </w:r>
      <w:r w:rsidR="009A2135">
        <w:rPr>
          <w:rFonts w:ascii="Times New Roman" w:hAnsi="Times New Roman"/>
        </w:rPr>
        <w:t xml:space="preserve"> Note, the majority of the CDS gross notional outstanding in each quarter is bespoke and </w:t>
      </w:r>
      <w:r w:rsidR="00831262">
        <w:rPr>
          <w:rFonts w:ascii="Times New Roman" w:hAnsi="Times New Roman"/>
        </w:rPr>
        <w:t>arising from pre 2006 synthetic securitization. O</w:t>
      </w:r>
      <w:r w:rsidR="009A2135">
        <w:rPr>
          <w:rFonts w:ascii="Times New Roman" w:hAnsi="Times New Roman"/>
        </w:rPr>
        <w:t xml:space="preserve">nly about $100 </w:t>
      </w:r>
      <w:proofErr w:type="spellStart"/>
      <w:r w:rsidR="009A2135">
        <w:rPr>
          <w:rFonts w:ascii="Times New Roman" w:hAnsi="Times New Roman"/>
        </w:rPr>
        <w:t>bn</w:t>
      </w:r>
      <w:proofErr w:type="spellEnd"/>
      <w:r w:rsidR="009A2135">
        <w:rPr>
          <w:rFonts w:ascii="Times New Roman" w:hAnsi="Times New Roman"/>
        </w:rPr>
        <w:t xml:space="preserve"> of CDS, in keeping with our carry trade </w:t>
      </w:r>
      <w:proofErr w:type="gramStart"/>
      <w:r w:rsidR="009A2135">
        <w:rPr>
          <w:rFonts w:ascii="Times New Roman" w:hAnsi="Times New Roman"/>
        </w:rPr>
        <w:t>strategy,</w:t>
      </w:r>
      <w:proofErr w:type="gramEnd"/>
      <w:r w:rsidR="009A2135">
        <w:rPr>
          <w:rFonts w:ascii="Times New Roman" w:hAnsi="Times New Roman"/>
        </w:rPr>
        <w:t xml:space="preserve"> is on the ABX-HE index per se.</w:t>
      </w:r>
      <w:r w:rsidR="007C61EA" w:rsidRPr="007C61EA">
        <w:rPr>
          <w:rStyle w:val="FootnoteReference"/>
          <w:rFonts w:ascii="Times New Roman" w:hAnsi="Times New Roman"/>
        </w:rPr>
        <w:t xml:space="preserve"> </w:t>
      </w:r>
      <w:r w:rsidR="007C61EA">
        <w:rPr>
          <w:rStyle w:val="FootnoteReference"/>
          <w:rFonts w:ascii="Times New Roman" w:hAnsi="Times New Roman"/>
        </w:rPr>
        <w:footnoteReference w:id="24"/>
      </w:r>
      <w:r w:rsidR="007C61EA">
        <w:rPr>
          <w:rFonts w:ascii="Times New Roman" w:hAnsi="Times New Roman"/>
        </w:rPr>
        <w:t xml:space="preserve"> </w:t>
      </w:r>
      <w:r w:rsidR="009A2135">
        <w:rPr>
          <w:rFonts w:ascii="Times New Roman" w:hAnsi="Times New Roman"/>
        </w:rPr>
        <w:t xml:space="preserve"> </w:t>
      </w:r>
      <w:r w:rsidR="00AA27E4">
        <w:rPr>
          <w:rFonts w:ascii="Times New Roman" w:hAnsi="Times New Roman"/>
        </w:rPr>
        <w:t xml:space="preserve"> </w:t>
      </w:r>
      <w:r w:rsidR="00EC7CCF">
        <w:rPr>
          <w:rFonts w:ascii="Times New Roman" w:hAnsi="Times New Roman"/>
        </w:rPr>
        <w:t xml:space="preserve">Remarkably, the revaluation item in Table </w:t>
      </w:r>
      <w:r w:rsidR="001811DA">
        <w:rPr>
          <w:rFonts w:ascii="Times New Roman" w:hAnsi="Times New Roman"/>
        </w:rPr>
        <w:t>2</w:t>
      </w:r>
      <w:r w:rsidR="00EC7CCF">
        <w:rPr>
          <w:rFonts w:ascii="Times New Roman" w:hAnsi="Times New Roman"/>
        </w:rPr>
        <w:t xml:space="preserve"> row 3 shows that in 2007Q3 a loss of $80 </w:t>
      </w:r>
      <w:proofErr w:type="spellStart"/>
      <w:r w:rsidR="00EC7CCF">
        <w:rPr>
          <w:rFonts w:ascii="Times New Roman" w:hAnsi="Times New Roman"/>
        </w:rPr>
        <w:t>bn</w:t>
      </w:r>
      <w:proofErr w:type="spellEnd"/>
      <w:r w:rsidR="00EC7CCF">
        <w:rPr>
          <w:rFonts w:ascii="Times New Roman" w:hAnsi="Times New Roman"/>
        </w:rPr>
        <w:t xml:space="preserve"> on underlying RMBS implies that all of the RMBS assets worth around $1</w:t>
      </w:r>
      <w:r w:rsidR="00C472D7">
        <w:rPr>
          <w:rFonts w:ascii="Times New Roman" w:hAnsi="Times New Roman"/>
        </w:rPr>
        <w:t>57</w:t>
      </w:r>
      <w:r w:rsidR="00E82BFD">
        <w:rPr>
          <w:rFonts w:ascii="Times New Roman" w:hAnsi="Times New Roman"/>
        </w:rPr>
        <w:t xml:space="preserve"> </w:t>
      </w:r>
      <w:proofErr w:type="spellStart"/>
      <w:r w:rsidR="00EC7CCF">
        <w:rPr>
          <w:rFonts w:ascii="Times New Roman" w:hAnsi="Times New Roman"/>
        </w:rPr>
        <w:t>bn</w:t>
      </w:r>
      <w:proofErr w:type="spellEnd"/>
      <w:r w:rsidR="00EC7CCF">
        <w:rPr>
          <w:rFonts w:ascii="Times New Roman" w:hAnsi="Times New Roman"/>
        </w:rPr>
        <w:t xml:space="preserve"> that the banks took on its balance sheets in th</w:t>
      </w:r>
      <w:r w:rsidR="00D114FD">
        <w:rPr>
          <w:rFonts w:ascii="Times New Roman" w:hAnsi="Times New Roman"/>
        </w:rPr>
        <w:t>e</w:t>
      </w:r>
      <w:r w:rsidR="00EC7CCF">
        <w:rPr>
          <w:rFonts w:ascii="Times New Roman" w:hAnsi="Times New Roman"/>
        </w:rPr>
        <w:t xml:space="preserve"> period </w:t>
      </w:r>
      <w:r w:rsidR="00D114FD">
        <w:rPr>
          <w:rFonts w:ascii="Times New Roman" w:hAnsi="Times New Roman"/>
        </w:rPr>
        <w:t xml:space="preserve">2006-07Q3 </w:t>
      </w:r>
      <w:r w:rsidR="00EC7CCF">
        <w:rPr>
          <w:rFonts w:ascii="Times New Roman" w:hAnsi="Times New Roman"/>
        </w:rPr>
        <w:t>using CRT had lost all of its value.  Th</w:t>
      </w:r>
      <w:r w:rsidR="00720C7C">
        <w:rPr>
          <w:rFonts w:ascii="Times New Roman" w:hAnsi="Times New Roman"/>
        </w:rPr>
        <w:t>is must have triggered CDS contracts</w:t>
      </w:r>
      <w:r w:rsidR="009A2135">
        <w:rPr>
          <w:rFonts w:ascii="Times New Roman" w:hAnsi="Times New Roman"/>
        </w:rPr>
        <w:t>,</w:t>
      </w:r>
      <w:r w:rsidR="00720C7C">
        <w:rPr>
          <w:rFonts w:ascii="Times New Roman" w:hAnsi="Times New Roman"/>
        </w:rPr>
        <w:t xml:space="preserve"> </w:t>
      </w:r>
      <w:r w:rsidR="009A2135">
        <w:rPr>
          <w:rFonts w:ascii="Times New Roman" w:hAnsi="Times New Roman"/>
        </w:rPr>
        <w:t xml:space="preserve">at a minimum, </w:t>
      </w:r>
      <w:r w:rsidR="00720C7C">
        <w:rPr>
          <w:rFonts w:ascii="Times New Roman" w:hAnsi="Times New Roman"/>
        </w:rPr>
        <w:t xml:space="preserve">with a similar </w:t>
      </w:r>
      <w:r w:rsidR="00E82BFD">
        <w:rPr>
          <w:rFonts w:ascii="Times New Roman" w:hAnsi="Times New Roman"/>
        </w:rPr>
        <w:t>net</w:t>
      </w:r>
      <w:r w:rsidR="00720C7C">
        <w:rPr>
          <w:rFonts w:ascii="Times New Roman" w:hAnsi="Times New Roman"/>
        </w:rPr>
        <w:t xml:space="preserve"> </w:t>
      </w:r>
      <w:r w:rsidR="00823990">
        <w:rPr>
          <w:rFonts w:ascii="Times New Roman" w:hAnsi="Times New Roman"/>
        </w:rPr>
        <w:t>fair/market</w:t>
      </w:r>
      <w:r w:rsidR="00720C7C">
        <w:rPr>
          <w:rFonts w:ascii="Times New Roman" w:hAnsi="Times New Roman"/>
        </w:rPr>
        <w:t xml:space="preserve"> value.</w:t>
      </w:r>
      <w:r w:rsidR="00823990">
        <w:rPr>
          <w:rFonts w:ascii="Times New Roman" w:hAnsi="Times New Roman"/>
        </w:rPr>
        <w:t xml:space="preserve"> </w:t>
      </w:r>
      <w:r w:rsidR="005D0CBB">
        <w:rPr>
          <w:rFonts w:ascii="Times New Roman" w:hAnsi="Times New Roman"/>
        </w:rPr>
        <w:t xml:space="preserve"> Of all the CDS market participants, because of the CRT scheme, banks faced threat of insolvency from double failure of both the reference RMBS assets on their balance sheets and that of their CDS protection sellers. </w:t>
      </w:r>
      <w:r w:rsidR="00E148EA">
        <w:rPr>
          <w:rFonts w:ascii="Times New Roman" w:hAnsi="Times New Roman"/>
        </w:rPr>
        <w:t xml:space="preserve"> </w:t>
      </w:r>
      <w:r w:rsidR="00720C7C" w:rsidRPr="00720C7C">
        <w:rPr>
          <w:rFonts w:ascii="Times New Roman" w:hAnsi="Times New Roman"/>
        </w:rPr>
        <w:t xml:space="preserve">It was the inability to meet CDS obligations by key CDS protection sellers on subprime related MBS and CDOs that led to implicit or explicit tax payer bail-outs on the premise that these financial entities were </w:t>
      </w:r>
      <w:r w:rsidR="00720C7C" w:rsidRPr="00720C7C">
        <w:rPr>
          <w:rStyle w:val="Emphasis"/>
          <w:rFonts w:ascii="Times New Roman" w:hAnsi="Times New Roman"/>
        </w:rPr>
        <w:t>too interconnected to fail.</w:t>
      </w:r>
      <w:r w:rsidR="00D83846">
        <w:rPr>
          <w:rStyle w:val="Emphasis"/>
          <w:rFonts w:ascii="Times New Roman" w:hAnsi="Times New Roman"/>
          <w:i w:val="0"/>
        </w:rPr>
        <w:br/>
      </w:r>
      <w:r w:rsidR="0076310C">
        <w:rPr>
          <w:rStyle w:val="Emphasis"/>
          <w:rFonts w:ascii="Times New Roman" w:hAnsi="Times New Roman"/>
          <w:i w:val="0"/>
        </w:rPr>
        <w:lastRenderedPageBreak/>
        <w:br/>
      </w:r>
      <w:r w:rsidR="00D83846">
        <w:rPr>
          <w:rStyle w:val="Emphasis"/>
          <w:rFonts w:ascii="Times New Roman" w:hAnsi="Times New Roman"/>
          <w:i w:val="0"/>
        </w:rPr>
        <w:t xml:space="preserve">As already noted only a few, 26-32, FDIC US banks were involved in the US CDS market and the FDIC data gives their activities in their capacity as national associations rather than as global banks. Our simulations (See Table 2 row 7 and Table 3 row 2), show that CDS on RMBS contributes to only 13% of gross notional of CDS in 2006Q1 which then fell to 7% in 2007Q2.   </w:t>
      </w:r>
    </w:p>
    <w:p w:rsidR="00D83846" w:rsidRPr="00895054" w:rsidRDefault="00D83846" w:rsidP="00D83846">
      <w:pPr>
        <w:keepNext/>
        <w:keepLines/>
        <w:spacing w:line="360" w:lineRule="auto"/>
        <w:rPr>
          <w:rFonts w:ascii="Times New Roman" w:hAnsi="Times New Roman"/>
          <w:b/>
        </w:rPr>
      </w:pPr>
      <w:r w:rsidRPr="00720C7C">
        <w:rPr>
          <w:rFonts w:ascii="Times New Roman" w:hAnsi="Times New Roman"/>
        </w:rPr>
        <w:t xml:space="preserve">    </w:t>
      </w:r>
      <w:r>
        <w:rPr>
          <w:rFonts w:ascii="Times New Roman" w:hAnsi="Times New Roman"/>
        </w:rPr>
        <w:t xml:space="preserve">  </w:t>
      </w:r>
      <w:r w:rsidRPr="00895054">
        <w:rPr>
          <w:rFonts w:ascii="Times New Roman" w:hAnsi="Times New Roman"/>
          <w:b/>
        </w:rPr>
        <w:t>T</w:t>
      </w:r>
      <w:r>
        <w:rPr>
          <w:rFonts w:ascii="Times New Roman" w:hAnsi="Times New Roman"/>
          <w:b/>
        </w:rPr>
        <w:t xml:space="preserve">able </w:t>
      </w:r>
      <w:proofErr w:type="gramStart"/>
      <w:r>
        <w:rPr>
          <w:rFonts w:ascii="Times New Roman" w:hAnsi="Times New Roman"/>
          <w:b/>
        </w:rPr>
        <w:t>3 :</w:t>
      </w:r>
      <w:r w:rsidRPr="00895054">
        <w:rPr>
          <w:rFonts w:ascii="Times New Roman" w:hAnsi="Times New Roman"/>
          <w:b/>
        </w:rPr>
        <w:t>CDS</w:t>
      </w:r>
      <w:proofErr w:type="gramEnd"/>
      <w:r w:rsidRPr="00895054">
        <w:rPr>
          <w:rFonts w:ascii="Times New Roman" w:hAnsi="Times New Roman"/>
          <w:b/>
        </w:rPr>
        <w:t xml:space="preserve"> Gross Notional 2006 to 2007 Actual ($ 00s)</w:t>
      </w:r>
    </w:p>
    <w:tbl>
      <w:tblPr>
        <w:tblW w:w="10373" w:type="dxa"/>
        <w:tblInd w:w="93" w:type="dxa"/>
        <w:tblLook w:val="04A0"/>
      </w:tblPr>
      <w:tblGrid>
        <w:gridCol w:w="1616"/>
        <w:gridCol w:w="1251"/>
        <w:gridCol w:w="1251"/>
        <w:gridCol w:w="1251"/>
        <w:gridCol w:w="1251"/>
        <w:gridCol w:w="1251"/>
        <w:gridCol w:w="1251"/>
        <w:gridCol w:w="1251"/>
      </w:tblGrid>
      <w:tr w:rsidR="00D83846" w:rsidRPr="00895054" w:rsidTr="00D83846">
        <w:trPr>
          <w:trHeight w:val="257"/>
        </w:trPr>
        <w:tc>
          <w:tcPr>
            <w:tcW w:w="1616" w:type="dxa"/>
            <w:tcBorders>
              <w:top w:val="single" w:sz="4" w:space="0" w:color="auto"/>
              <w:left w:val="single" w:sz="4" w:space="0" w:color="auto"/>
              <w:bottom w:val="single" w:sz="4" w:space="0" w:color="auto"/>
              <w:right w:val="single" w:sz="4" w:space="0" w:color="auto"/>
            </w:tcBorders>
            <w:noWrap/>
            <w:vAlign w:val="bottom"/>
            <w:hideMark/>
          </w:tcPr>
          <w:p w:rsidR="00D83846" w:rsidRPr="00895054" w:rsidRDefault="00D83846" w:rsidP="00D83846">
            <w:pPr>
              <w:keepNext/>
              <w:keepLines/>
              <w:spacing w:after="0" w:line="240" w:lineRule="auto"/>
              <w:rPr>
                <w:rFonts w:ascii="Times New Roman" w:eastAsia="Times New Roman" w:hAnsi="Times New Roman"/>
                <w:color w:val="000000"/>
                <w:sz w:val="18"/>
                <w:szCs w:val="18"/>
                <w:lang w:eastAsia="en-GB"/>
              </w:rPr>
            </w:pPr>
            <w:r w:rsidRPr="00895054">
              <w:rPr>
                <w:rFonts w:ascii="Times New Roman" w:eastAsia="Times New Roman" w:hAnsi="Times New Roman"/>
                <w:color w:val="000000"/>
                <w:sz w:val="18"/>
                <w:szCs w:val="18"/>
                <w:lang w:eastAsia="en-GB"/>
              </w:rPr>
              <w:t> </w:t>
            </w:r>
          </w:p>
        </w:tc>
        <w:tc>
          <w:tcPr>
            <w:tcW w:w="1251" w:type="dxa"/>
            <w:tcBorders>
              <w:top w:val="single" w:sz="4" w:space="0" w:color="auto"/>
              <w:left w:val="nil"/>
              <w:bottom w:val="single" w:sz="4" w:space="0" w:color="auto"/>
              <w:right w:val="single" w:sz="4" w:space="0" w:color="auto"/>
            </w:tcBorders>
            <w:vAlign w:val="center"/>
            <w:hideMark/>
          </w:tcPr>
          <w:p w:rsidR="00D83846" w:rsidRPr="00895054" w:rsidRDefault="00D83846" w:rsidP="00D83846">
            <w:pPr>
              <w:keepNext/>
              <w:keepLines/>
              <w:spacing w:after="0" w:line="240" w:lineRule="auto"/>
              <w:jc w:val="center"/>
              <w:rPr>
                <w:rFonts w:ascii="Times New Roman" w:eastAsia="Times New Roman" w:hAnsi="Times New Roman"/>
                <w:color w:val="000000"/>
                <w:sz w:val="18"/>
                <w:szCs w:val="18"/>
                <w:lang w:eastAsia="en-GB"/>
              </w:rPr>
            </w:pPr>
            <w:r w:rsidRPr="00895054">
              <w:rPr>
                <w:rFonts w:ascii="Times New Roman" w:eastAsia="Times New Roman" w:hAnsi="Times New Roman"/>
                <w:color w:val="000000"/>
                <w:sz w:val="18"/>
                <w:szCs w:val="18"/>
                <w:lang w:eastAsia="en-GB"/>
              </w:rPr>
              <w:t xml:space="preserve"> 2006Q1 </w:t>
            </w:r>
          </w:p>
        </w:tc>
        <w:tc>
          <w:tcPr>
            <w:tcW w:w="1251" w:type="dxa"/>
            <w:tcBorders>
              <w:top w:val="single" w:sz="4" w:space="0" w:color="auto"/>
              <w:left w:val="nil"/>
              <w:bottom w:val="single" w:sz="4" w:space="0" w:color="auto"/>
              <w:right w:val="single" w:sz="4" w:space="0" w:color="auto"/>
            </w:tcBorders>
            <w:vAlign w:val="center"/>
            <w:hideMark/>
          </w:tcPr>
          <w:p w:rsidR="00D83846" w:rsidRPr="00895054" w:rsidRDefault="00D83846" w:rsidP="00D83846">
            <w:pPr>
              <w:keepNext/>
              <w:keepLines/>
              <w:spacing w:after="0" w:line="240" w:lineRule="auto"/>
              <w:jc w:val="center"/>
              <w:rPr>
                <w:rFonts w:ascii="Times New Roman" w:eastAsia="Times New Roman" w:hAnsi="Times New Roman"/>
                <w:color w:val="000000"/>
                <w:sz w:val="18"/>
                <w:szCs w:val="18"/>
                <w:lang w:eastAsia="en-GB"/>
              </w:rPr>
            </w:pPr>
            <w:r w:rsidRPr="00895054">
              <w:rPr>
                <w:rFonts w:ascii="Times New Roman" w:eastAsia="Times New Roman" w:hAnsi="Times New Roman"/>
                <w:color w:val="000000"/>
                <w:sz w:val="18"/>
                <w:szCs w:val="18"/>
                <w:lang w:eastAsia="en-GB"/>
              </w:rPr>
              <w:t xml:space="preserve"> 2006Q2 </w:t>
            </w:r>
          </w:p>
        </w:tc>
        <w:tc>
          <w:tcPr>
            <w:tcW w:w="1251" w:type="dxa"/>
            <w:tcBorders>
              <w:top w:val="single" w:sz="4" w:space="0" w:color="auto"/>
              <w:left w:val="nil"/>
              <w:bottom w:val="single" w:sz="4" w:space="0" w:color="auto"/>
              <w:right w:val="single" w:sz="4" w:space="0" w:color="auto"/>
            </w:tcBorders>
            <w:vAlign w:val="center"/>
            <w:hideMark/>
          </w:tcPr>
          <w:p w:rsidR="00D83846" w:rsidRPr="00895054" w:rsidRDefault="00D83846" w:rsidP="00D83846">
            <w:pPr>
              <w:keepNext/>
              <w:keepLines/>
              <w:spacing w:after="0" w:line="240" w:lineRule="auto"/>
              <w:jc w:val="center"/>
              <w:rPr>
                <w:rFonts w:ascii="Times New Roman" w:eastAsia="Times New Roman" w:hAnsi="Times New Roman"/>
                <w:color w:val="000000"/>
                <w:sz w:val="18"/>
                <w:szCs w:val="18"/>
                <w:lang w:eastAsia="en-GB"/>
              </w:rPr>
            </w:pPr>
            <w:r w:rsidRPr="00895054">
              <w:rPr>
                <w:rFonts w:ascii="Times New Roman" w:eastAsia="Times New Roman" w:hAnsi="Times New Roman"/>
                <w:color w:val="000000"/>
                <w:sz w:val="18"/>
                <w:szCs w:val="18"/>
                <w:lang w:eastAsia="en-GB"/>
              </w:rPr>
              <w:t xml:space="preserve"> 2006Q3 </w:t>
            </w:r>
          </w:p>
        </w:tc>
        <w:tc>
          <w:tcPr>
            <w:tcW w:w="1251" w:type="dxa"/>
            <w:tcBorders>
              <w:top w:val="single" w:sz="4" w:space="0" w:color="auto"/>
              <w:left w:val="nil"/>
              <w:bottom w:val="single" w:sz="4" w:space="0" w:color="auto"/>
              <w:right w:val="single" w:sz="4" w:space="0" w:color="auto"/>
            </w:tcBorders>
            <w:vAlign w:val="center"/>
            <w:hideMark/>
          </w:tcPr>
          <w:p w:rsidR="00D83846" w:rsidRPr="00895054" w:rsidRDefault="00D83846" w:rsidP="00D83846">
            <w:pPr>
              <w:keepNext/>
              <w:keepLines/>
              <w:spacing w:after="0" w:line="240" w:lineRule="auto"/>
              <w:jc w:val="center"/>
              <w:rPr>
                <w:rFonts w:ascii="Times New Roman" w:eastAsia="Times New Roman" w:hAnsi="Times New Roman"/>
                <w:color w:val="000000"/>
                <w:sz w:val="18"/>
                <w:szCs w:val="18"/>
                <w:lang w:eastAsia="en-GB"/>
              </w:rPr>
            </w:pPr>
            <w:r w:rsidRPr="00895054">
              <w:rPr>
                <w:rFonts w:ascii="Times New Roman" w:eastAsia="Times New Roman" w:hAnsi="Times New Roman"/>
                <w:color w:val="000000"/>
                <w:sz w:val="18"/>
                <w:szCs w:val="18"/>
                <w:lang w:eastAsia="en-GB"/>
              </w:rPr>
              <w:t xml:space="preserve"> 2006Q4 </w:t>
            </w:r>
          </w:p>
        </w:tc>
        <w:tc>
          <w:tcPr>
            <w:tcW w:w="1251" w:type="dxa"/>
            <w:tcBorders>
              <w:top w:val="single" w:sz="4" w:space="0" w:color="auto"/>
              <w:left w:val="nil"/>
              <w:bottom w:val="single" w:sz="4" w:space="0" w:color="auto"/>
              <w:right w:val="single" w:sz="4" w:space="0" w:color="auto"/>
            </w:tcBorders>
            <w:vAlign w:val="center"/>
            <w:hideMark/>
          </w:tcPr>
          <w:p w:rsidR="00D83846" w:rsidRPr="00895054" w:rsidRDefault="00D83846" w:rsidP="00D83846">
            <w:pPr>
              <w:keepNext/>
              <w:keepLines/>
              <w:spacing w:after="0" w:line="240" w:lineRule="auto"/>
              <w:jc w:val="center"/>
              <w:rPr>
                <w:rFonts w:ascii="Times New Roman" w:eastAsia="Times New Roman" w:hAnsi="Times New Roman"/>
                <w:color w:val="000000"/>
                <w:sz w:val="18"/>
                <w:szCs w:val="18"/>
                <w:lang w:eastAsia="en-GB"/>
              </w:rPr>
            </w:pPr>
            <w:r w:rsidRPr="00895054">
              <w:rPr>
                <w:rFonts w:ascii="Times New Roman" w:eastAsia="Times New Roman" w:hAnsi="Times New Roman"/>
                <w:color w:val="000000"/>
                <w:sz w:val="18"/>
                <w:szCs w:val="18"/>
                <w:lang w:eastAsia="en-GB"/>
              </w:rPr>
              <w:t xml:space="preserve"> 2007Q1 </w:t>
            </w:r>
          </w:p>
        </w:tc>
        <w:tc>
          <w:tcPr>
            <w:tcW w:w="1251" w:type="dxa"/>
            <w:tcBorders>
              <w:top w:val="single" w:sz="4" w:space="0" w:color="auto"/>
              <w:left w:val="nil"/>
              <w:bottom w:val="single" w:sz="4" w:space="0" w:color="auto"/>
              <w:right w:val="single" w:sz="4" w:space="0" w:color="auto"/>
            </w:tcBorders>
            <w:vAlign w:val="center"/>
            <w:hideMark/>
          </w:tcPr>
          <w:p w:rsidR="00D83846" w:rsidRPr="00895054" w:rsidRDefault="00D83846" w:rsidP="00D83846">
            <w:pPr>
              <w:keepNext/>
              <w:keepLines/>
              <w:spacing w:after="0" w:line="240" w:lineRule="auto"/>
              <w:jc w:val="center"/>
              <w:rPr>
                <w:rFonts w:ascii="Times New Roman" w:eastAsia="Times New Roman" w:hAnsi="Times New Roman"/>
                <w:color w:val="000000"/>
                <w:sz w:val="18"/>
                <w:szCs w:val="18"/>
                <w:lang w:eastAsia="en-GB"/>
              </w:rPr>
            </w:pPr>
            <w:r w:rsidRPr="00895054">
              <w:rPr>
                <w:rFonts w:ascii="Times New Roman" w:eastAsia="Times New Roman" w:hAnsi="Times New Roman"/>
                <w:color w:val="000000"/>
                <w:sz w:val="18"/>
                <w:szCs w:val="18"/>
                <w:lang w:eastAsia="en-GB"/>
              </w:rPr>
              <w:t xml:space="preserve"> 2007Q2 </w:t>
            </w:r>
          </w:p>
        </w:tc>
        <w:tc>
          <w:tcPr>
            <w:tcW w:w="1251" w:type="dxa"/>
            <w:tcBorders>
              <w:top w:val="single" w:sz="4" w:space="0" w:color="auto"/>
              <w:left w:val="nil"/>
              <w:bottom w:val="single" w:sz="4" w:space="0" w:color="auto"/>
              <w:right w:val="single" w:sz="4" w:space="0" w:color="auto"/>
            </w:tcBorders>
            <w:vAlign w:val="center"/>
            <w:hideMark/>
          </w:tcPr>
          <w:p w:rsidR="00D83846" w:rsidRPr="00895054" w:rsidRDefault="00D83846" w:rsidP="00D83846">
            <w:pPr>
              <w:keepNext/>
              <w:keepLines/>
              <w:spacing w:after="0" w:line="240" w:lineRule="auto"/>
              <w:jc w:val="center"/>
              <w:rPr>
                <w:rFonts w:ascii="Times New Roman" w:eastAsia="Times New Roman" w:hAnsi="Times New Roman"/>
                <w:color w:val="000000"/>
                <w:sz w:val="18"/>
                <w:szCs w:val="18"/>
                <w:lang w:eastAsia="en-GB"/>
              </w:rPr>
            </w:pPr>
            <w:r w:rsidRPr="00895054">
              <w:rPr>
                <w:rFonts w:ascii="Times New Roman" w:eastAsia="Times New Roman" w:hAnsi="Times New Roman"/>
                <w:color w:val="000000"/>
                <w:sz w:val="18"/>
                <w:szCs w:val="18"/>
                <w:lang w:eastAsia="en-GB"/>
              </w:rPr>
              <w:t xml:space="preserve"> 2007Q3 </w:t>
            </w:r>
          </w:p>
        </w:tc>
      </w:tr>
      <w:tr w:rsidR="00D83846" w:rsidRPr="00895054" w:rsidTr="00D83846">
        <w:trPr>
          <w:trHeight w:val="591"/>
        </w:trPr>
        <w:tc>
          <w:tcPr>
            <w:tcW w:w="1616" w:type="dxa"/>
            <w:tcBorders>
              <w:top w:val="nil"/>
              <w:left w:val="single" w:sz="4" w:space="0" w:color="auto"/>
              <w:bottom w:val="single" w:sz="4" w:space="0" w:color="auto"/>
              <w:right w:val="single" w:sz="4" w:space="0" w:color="auto"/>
            </w:tcBorders>
            <w:vAlign w:val="bottom"/>
            <w:hideMark/>
          </w:tcPr>
          <w:p w:rsidR="00D83846" w:rsidRPr="00895054" w:rsidRDefault="00D83846" w:rsidP="00D83846">
            <w:pPr>
              <w:keepNext/>
              <w:keepLines/>
              <w:spacing w:after="0" w:line="240" w:lineRule="auto"/>
              <w:rPr>
                <w:rFonts w:ascii="Times New Roman" w:eastAsia="Times New Roman" w:hAnsi="Times New Roman"/>
                <w:sz w:val="18"/>
                <w:szCs w:val="18"/>
                <w:lang w:eastAsia="en-GB"/>
              </w:rPr>
            </w:pPr>
            <w:r w:rsidRPr="00895054">
              <w:rPr>
                <w:rFonts w:ascii="Times New Roman" w:eastAsia="Times New Roman" w:hAnsi="Times New Roman"/>
                <w:sz w:val="18"/>
                <w:szCs w:val="18"/>
                <w:lang w:eastAsia="en-GB"/>
              </w:rPr>
              <w:t>Gross Notional CDS Protection Purchased by Top 5 Banks</w:t>
            </w:r>
          </w:p>
        </w:tc>
        <w:tc>
          <w:tcPr>
            <w:tcW w:w="1251" w:type="dxa"/>
            <w:tcBorders>
              <w:top w:val="nil"/>
              <w:left w:val="nil"/>
              <w:bottom w:val="single" w:sz="4" w:space="0" w:color="auto"/>
              <w:right w:val="single" w:sz="4" w:space="0" w:color="auto"/>
            </w:tcBorders>
            <w:noWrap/>
            <w:vAlign w:val="bottom"/>
            <w:hideMark/>
          </w:tcPr>
          <w:p w:rsidR="00D83846" w:rsidRPr="00895054" w:rsidRDefault="00D83846" w:rsidP="00D83846">
            <w:pPr>
              <w:keepNext/>
              <w:keepLines/>
              <w:spacing w:after="0" w:line="240" w:lineRule="auto"/>
              <w:jc w:val="right"/>
              <w:rPr>
                <w:rFonts w:ascii="Times New Roman" w:eastAsia="Times New Roman" w:hAnsi="Times New Roman"/>
                <w:color w:val="000000"/>
                <w:sz w:val="18"/>
                <w:szCs w:val="18"/>
                <w:lang w:eastAsia="en-GB"/>
              </w:rPr>
            </w:pPr>
            <w:r w:rsidRPr="00895054">
              <w:rPr>
                <w:rFonts w:ascii="Times New Roman" w:eastAsia="Times New Roman" w:hAnsi="Times New Roman"/>
                <w:color w:val="000000"/>
                <w:sz w:val="18"/>
                <w:szCs w:val="18"/>
                <w:lang w:eastAsia="en-GB"/>
              </w:rPr>
              <w:t xml:space="preserve">       2,504,417,017 </w:t>
            </w:r>
          </w:p>
        </w:tc>
        <w:tc>
          <w:tcPr>
            <w:tcW w:w="1251" w:type="dxa"/>
            <w:tcBorders>
              <w:top w:val="nil"/>
              <w:left w:val="nil"/>
              <w:bottom w:val="single" w:sz="4" w:space="0" w:color="auto"/>
              <w:right w:val="single" w:sz="4" w:space="0" w:color="auto"/>
            </w:tcBorders>
            <w:noWrap/>
            <w:vAlign w:val="bottom"/>
            <w:hideMark/>
          </w:tcPr>
          <w:p w:rsidR="00D83846" w:rsidRPr="00895054" w:rsidRDefault="00D83846" w:rsidP="00D83846">
            <w:pPr>
              <w:keepNext/>
              <w:keepLines/>
              <w:spacing w:after="0" w:line="240" w:lineRule="auto"/>
              <w:jc w:val="right"/>
              <w:rPr>
                <w:rFonts w:ascii="Times New Roman" w:eastAsia="Times New Roman" w:hAnsi="Times New Roman"/>
                <w:color w:val="000000"/>
                <w:sz w:val="18"/>
                <w:szCs w:val="18"/>
                <w:lang w:eastAsia="en-GB"/>
              </w:rPr>
            </w:pPr>
            <w:r w:rsidRPr="00895054">
              <w:rPr>
                <w:rFonts w:ascii="Times New Roman" w:eastAsia="Times New Roman" w:hAnsi="Times New Roman"/>
                <w:color w:val="000000"/>
                <w:sz w:val="18"/>
                <w:szCs w:val="18"/>
                <w:lang w:eastAsia="en-GB"/>
              </w:rPr>
              <w:t xml:space="preserve">                3,052,400,980 </w:t>
            </w:r>
          </w:p>
        </w:tc>
        <w:tc>
          <w:tcPr>
            <w:tcW w:w="1251" w:type="dxa"/>
            <w:tcBorders>
              <w:top w:val="nil"/>
              <w:left w:val="nil"/>
              <w:bottom w:val="single" w:sz="4" w:space="0" w:color="auto"/>
              <w:right w:val="single" w:sz="4" w:space="0" w:color="auto"/>
            </w:tcBorders>
            <w:noWrap/>
            <w:vAlign w:val="bottom"/>
            <w:hideMark/>
          </w:tcPr>
          <w:p w:rsidR="00D83846" w:rsidRPr="00895054" w:rsidRDefault="00D83846" w:rsidP="00D83846">
            <w:pPr>
              <w:keepNext/>
              <w:keepLines/>
              <w:spacing w:after="0" w:line="240" w:lineRule="auto"/>
              <w:jc w:val="right"/>
              <w:rPr>
                <w:rFonts w:ascii="Times New Roman" w:eastAsia="Times New Roman" w:hAnsi="Times New Roman"/>
                <w:color w:val="000000"/>
                <w:sz w:val="18"/>
                <w:szCs w:val="18"/>
                <w:lang w:eastAsia="en-GB"/>
              </w:rPr>
            </w:pPr>
            <w:r w:rsidRPr="00895054">
              <w:rPr>
                <w:rFonts w:ascii="Times New Roman" w:eastAsia="Times New Roman" w:hAnsi="Times New Roman"/>
                <w:color w:val="000000"/>
                <w:sz w:val="18"/>
                <w:szCs w:val="18"/>
                <w:lang w:eastAsia="en-GB"/>
              </w:rPr>
              <w:t xml:space="preserve">       3,683,156,963 </w:t>
            </w:r>
          </w:p>
        </w:tc>
        <w:tc>
          <w:tcPr>
            <w:tcW w:w="1251" w:type="dxa"/>
            <w:tcBorders>
              <w:top w:val="nil"/>
              <w:left w:val="nil"/>
              <w:bottom w:val="single" w:sz="4" w:space="0" w:color="auto"/>
              <w:right w:val="single" w:sz="4" w:space="0" w:color="auto"/>
            </w:tcBorders>
            <w:noWrap/>
            <w:vAlign w:val="bottom"/>
            <w:hideMark/>
          </w:tcPr>
          <w:p w:rsidR="00D83846" w:rsidRPr="00895054" w:rsidRDefault="00D83846" w:rsidP="00D83846">
            <w:pPr>
              <w:keepNext/>
              <w:keepLines/>
              <w:spacing w:after="0" w:line="240" w:lineRule="auto"/>
              <w:jc w:val="right"/>
              <w:rPr>
                <w:rFonts w:ascii="Times New Roman" w:eastAsia="Times New Roman" w:hAnsi="Times New Roman"/>
                <w:color w:val="000000"/>
                <w:sz w:val="18"/>
                <w:szCs w:val="18"/>
                <w:lang w:eastAsia="en-GB"/>
              </w:rPr>
            </w:pPr>
            <w:r w:rsidRPr="00895054">
              <w:rPr>
                <w:rFonts w:ascii="Times New Roman" w:eastAsia="Times New Roman" w:hAnsi="Times New Roman"/>
                <w:color w:val="000000"/>
                <w:sz w:val="18"/>
                <w:szCs w:val="18"/>
                <w:lang w:eastAsia="en-GB"/>
              </w:rPr>
              <w:t xml:space="preserve">       4,232,328,400 </w:t>
            </w:r>
          </w:p>
        </w:tc>
        <w:tc>
          <w:tcPr>
            <w:tcW w:w="1251" w:type="dxa"/>
            <w:tcBorders>
              <w:top w:val="nil"/>
              <w:left w:val="nil"/>
              <w:bottom w:val="single" w:sz="4" w:space="0" w:color="auto"/>
              <w:right w:val="single" w:sz="4" w:space="0" w:color="auto"/>
            </w:tcBorders>
            <w:noWrap/>
            <w:vAlign w:val="bottom"/>
            <w:hideMark/>
          </w:tcPr>
          <w:p w:rsidR="00D83846" w:rsidRPr="00895054" w:rsidRDefault="00D83846" w:rsidP="00D83846">
            <w:pPr>
              <w:keepNext/>
              <w:keepLines/>
              <w:spacing w:after="0" w:line="240" w:lineRule="auto"/>
              <w:jc w:val="right"/>
              <w:rPr>
                <w:rFonts w:ascii="Times New Roman" w:eastAsia="Times New Roman" w:hAnsi="Times New Roman"/>
                <w:color w:val="000000"/>
                <w:sz w:val="18"/>
                <w:szCs w:val="18"/>
                <w:lang w:eastAsia="en-GB"/>
              </w:rPr>
            </w:pPr>
            <w:r w:rsidRPr="00895054">
              <w:rPr>
                <w:rFonts w:ascii="Times New Roman" w:eastAsia="Times New Roman" w:hAnsi="Times New Roman"/>
                <w:color w:val="000000"/>
                <w:sz w:val="18"/>
                <w:szCs w:val="18"/>
                <w:lang w:eastAsia="en-GB"/>
              </w:rPr>
              <w:t xml:space="preserve">       5,236,739,940 </w:t>
            </w:r>
          </w:p>
        </w:tc>
        <w:tc>
          <w:tcPr>
            <w:tcW w:w="1251" w:type="dxa"/>
            <w:tcBorders>
              <w:top w:val="nil"/>
              <w:left w:val="nil"/>
              <w:bottom w:val="single" w:sz="4" w:space="0" w:color="auto"/>
              <w:right w:val="single" w:sz="4" w:space="0" w:color="auto"/>
            </w:tcBorders>
            <w:noWrap/>
            <w:vAlign w:val="bottom"/>
            <w:hideMark/>
          </w:tcPr>
          <w:p w:rsidR="00D83846" w:rsidRPr="00895054" w:rsidRDefault="00D83846" w:rsidP="00D83846">
            <w:pPr>
              <w:keepNext/>
              <w:keepLines/>
              <w:spacing w:after="0" w:line="240" w:lineRule="auto"/>
              <w:jc w:val="right"/>
              <w:rPr>
                <w:rFonts w:ascii="Times New Roman" w:eastAsia="Times New Roman" w:hAnsi="Times New Roman"/>
                <w:color w:val="000000"/>
                <w:sz w:val="18"/>
                <w:szCs w:val="18"/>
                <w:lang w:eastAsia="en-GB"/>
              </w:rPr>
            </w:pPr>
            <w:r w:rsidRPr="00895054">
              <w:rPr>
                <w:rFonts w:ascii="Times New Roman" w:eastAsia="Times New Roman" w:hAnsi="Times New Roman"/>
                <w:color w:val="000000"/>
                <w:sz w:val="18"/>
                <w:szCs w:val="18"/>
                <w:lang w:eastAsia="en-GB"/>
              </w:rPr>
              <w:t xml:space="preserve">       6,191,517,817 </w:t>
            </w:r>
          </w:p>
        </w:tc>
        <w:tc>
          <w:tcPr>
            <w:tcW w:w="1251" w:type="dxa"/>
            <w:tcBorders>
              <w:top w:val="nil"/>
              <w:left w:val="nil"/>
              <w:bottom w:val="single" w:sz="4" w:space="0" w:color="auto"/>
              <w:right w:val="single" w:sz="4" w:space="0" w:color="auto"/>
            </w:tcBorders>
            <w:noWrap/>
            <w:vAlign w:val="bottom"/>
            <w:hideMark/>
          </w:tcPr>
          <w:p w:rsidR="00D83846" w:rsidRPr="00895054" w:rsidRDefault="00D83846" w:rsidP="00D83846">
            <w:pPr>
              <w:keepNext/>
              <w:keepLines/>
              <w:spacing w:after="0" w:line="240" w:lineRule="auto"/>
              <w:jc w:val="right"/>
              <w:rPr>
                <w:rFonts w:ascii="Times New Roman" w:eastAsia="Times New Roman" w:hAnsi="Times New Roman"/>
                <w:color w:val="000000"/>
                <w:sz w:val="18"/>
                <w:szCs w:val="18"/>
                <w:lang w:eastAsia="en-GB"/>
              </w:rPr>
            </w:pPr>
            <w:r w:rsidRPr="00895054">
              <w:rPr>
                <w:rFonts w:ascii="Times New Roman" w:eastAsia="Times New Roman" w:hAnsi="Times New Roman"/>
                <w:color w:val="000000"/>
                <w:sz w:val="18"/>
                <w:szCs w:val="18"/>
                <w:lang w:eastAsia="en-GB"/>
              </w:rPr>
              <w:t xml:space="preserve">       7,476,739,120 </w:t>
            </w:r>
          </w:p>
        </w:tc>
      </w:tr>
      <w:tr w:rsidR="00D83846" w:rsidRPr="00895054" w:rsidTr="00D83846">
        <w:trPr>
          <w:trHeight w:val="398"/>
        </w:trPr>
        <w:tc>
          <w:tcPr>
            <w:tcW w:w="1616" w:type="dxa"/>
            <w:tcBorders>
              <w:top w:val="nil"/>
              <w:left w:val="single" w:sz="4" w:space="0" w:color="auto"/>
              <w:bottom w:val="single" w:sz="4" w:space="0" w:color="auto"/>
              <w:right w:val="single" w:sz="4" w:space="0" w:color="auto"/>
            </w:tcBorders>
            <w:vAlign w:val="bottom"/>
            <w:hideMark/>
          </w:tcPr>
          <w:p w:rsidR="00D83846" w:rsidRPr="00895054" w:rsidRDefault="00D83846" w:rsidP="00D83846">
            <w:pPr>
              <w:keepNext/>
              <w:keepLines/>
              <w:spacing w:after="0" w:line="240" w:lineRule="auto"/>
              <w:rPr>
                <w:rFonts w:ascii="Times New Roman" w:eastAsia="Times New Roman" w:hAnsi="Times New Roman"/>
                <w:sz w:val="18"/>
                <w:szCs w:val="18"/>
                <w:lang w:eastAsia="en-GB"/>
              </w:rPr>
            </w:pPr>
            <w:r w:rsidRPr="00895054">
              <w:rPr>
                <w:rFonts w:ascii="Times New Roman" w:eastAsia="Times New Roman" w:hAnsi="Times New Roman"/>
                <w:sz w:val="18"/>
                <w:szCs w:val="18"/>
                <w:lang w:eastAsia="en-GB"/>
              </w:rPr>
              <w:t xml:space="preserve">Gross Notional CDS Protection Purchased by All </w:t>
            </w:r>
            <w:r>
              <w:rPr>
                <w:rFonts w:ascii="Times New Roman" w:eastAsia="Times New Roman" w:hAnsi="Times New Roman"/>
                <w:sz w:val="18"/>
                <w:szCs w:val="18"/>
                <w:lang w:eastAsia="en-GB"/>
              </w:rPr>
              <w:t xml:space="preserve">26 FDIC </w:t>
            </w:r>
            <w:r w:rsidRPr="00895054">
              <w:rPr>
                <w:rFonts w:ascii="Times New Roman" w:eastAsia="Times New Roman" w:hAnsi="Times New Roman"/>
                <w:sz w:val="18"/>
                <w:szCs w:val="18"/>
                <w:lang w:eastAsia="en-GB"/>
              </w:rPr>
              <w:t>Banks</w:t>
            </w:r>
          </w:p>
        </w:tc>
        <w:tc>
          <w:tcPr>
            <w:tcW w:w="1251" w:type="dxa"/>
            <w:tcBorders>
              <w:top w:val="nil"/>
              <w:left w:val="nil"/>
              <w:bottom w:val="single" w:sz="4" w:space="0" w:color="auto"/>
              <w:right w:val="single" w:sz="4" w:space="0" w:color="auto"/>
            </w:tcBorders>
            <w:noWrap/>
            <w:vAlign w:val="bottom"/>
            <w:hideMark/>
          </w:tcPr>
          <w:p w:rsidR="00D83846" w:rsidRPr="00895054" w:rsidRDefault="00D83846" w:rsidP="00D83846">
            <w:pPr>
              <w:keepNext/>
              <w:keepLines/>
              <w:spacing w:after="0" w:line="240" w:lineRule="auto"/>
              <w:jc w:val="right"/>
              <w:rPr>
                <w:rFonts w:ascii="Times New Roman" w:eastAsia="Times New Roman" w:hAnsi="Times New Roman"/>
                <w:color w:val="000000"/>
                <w:sz w:val="18"/>
                <w:szCs w:val="18"/>
                <w:lang w:eastAsia="en-GB"/>
              </w:rPr>
            </w:pPr>
            <w:r w:rsidRPr="00895054">
              <w:rPr>
                <w:rFonts w:ascii="Times New Roman" w:eastAsia="Times New Roman" w:hAnsi="Times New Roman"/>
                <w:color w:val="000000"/>
                <w:sz w:val="18"/>
                <w:szCs w:val="18"/>
                <w:lang w:eastAsia="en-GB"/>
              </w:rPr>
              <w:t xml:space="preserve">       2,645,092,207 </w:t>
            </w:r>
          </w:p>
        </w:tc>
        <w:tc>
          <w:tcPr>
            <w:tcW w:w="1251" w:type="dxa"/>
            <w:tcBorders>
              <w:top w:val="nil"/>
              <w:left w:val="nil"/>
              <w:bottom w:val="single" w:sz="4" w:space="0" w:color="auto"/>
              <w:right w:val="single" w:sz="4" w:space="0" w:color="auto"/>
            </w:tcBorders>
            <w:noWrap/>
            <w:vAlign w:val="bottom"/>
            <w:hideMark/>
          </w:tcPr>
          <w:p w:rsidR="00D83846" w:rsidRPr="00895054" w:rsidRDefault="00D83846" w:rsidP="00D83846">
            <w:pPr>
              <w:keepNext/>
              <w:keepLines/>
              <w:spacing w:after="0" w:line="240" w:lineRule="auto"/>
              <w:jc w:val="right"/>
              <w:rPr>
                <w:rFonts w:ascii="Times New Roman" w:eastAsia="Times New Roman" w:hAnsi="Times New Roman"/>
                <w:color w:val="000000"/>
                <w:sz w:val="18"/>
                <w:szCs w:val="18"/>
                <w:lang w:eastAsia="en-GB"/>
              </w:rPr>
            </w:pPr>
            <w:r w:rsidRPr="00895054">
              <w:rPr>
                <w:rFonts w:ascii="Times New Roman" w:eastAsia="Times New Roman" w:hAnsi="Times New Roman"/>
                <w:color w:val="000000"/>
                <w:sz w:val="18"/>
                <w:szCs w:val="18"/>
                <w:lang w:eastAsia="en-GB"/>
              </w:rPr>
              <w:t xml:space="preserve">                3,166,999,117 </w:t>
            </w:r>
          </w:p>
        </w:tc>
        <w:tc>
          <w:tcPr>
            <w:tcW w:w="1251" w:type="dxa"/>
            <w:tcBorders>
              <w:top w:val="nil"/>
              <w:left w:val="nil"/>
              <w:bottom w:val="single" w:sz="4" w:space="0" w:color="auto"/>
              <w:right w:val="single" w:sz="4" w:space="0" w:color="auto"/>
            </w:tcBorders>
            <w:noWrap/>
            <w:vAlign w:val="bottom"/>
            <w:hideMark/>
          </w:tcPr>
          <w:p w:rsidR="00D83846" w:rsidRPr="00895054" w:rsidRDefault="00D83846" w:rsidP="00D83846">
            <w:pPr>
              <w:keepNext/>
              <w:keepLines/>
              <w:spacing w:after="0" w:line="240" w:lineRule="auto"/>
              <w:jc w:val="right"/>
              <w:rPr>
                <w:rFonts w:ascii="Times New Roman" w:eastAsia="Times New Roman" w:hAnsi="Times New Roman"/>
                <w:color w:val="000000"/>
                <w:sz w:val="18"/>
                <w:szCs w:val="18"/>
                <w:lang w:eastAsia="en-GB"/>
              </w:rPr>
            </w:pPr>
            <w:r w:rsidRPr="00895054">
              <w:rPr>
                <w:rFonts w:ascii="Times New Roman" w:eastAsia="Times New Roman" w:hAnsi="Times New Roman"/>
                <w:color w:val="000000"/>
                <w:sz w:val="18"/>
                <w:szCs w:val="18"/>
                <w:lang w:eastAsia="en-GB"/>
              </w:rPr>
              <w:t xml:space="preserve">       3,840,306,007 </w:t>
            </w:r>
          </w:p>
        </w:tc>
        <w:tc>
          <w:tcPr>
            <w:tcW w:w="1251" w:type="dxa"/>
            <w:tcBorders>
              <w:top w:val="nil"/>
              <w:left w:val="nil"/>
              <w:bottom w:val="single" w:sz="4" w:space="0" w:color="auto"/>
              <w:right w:val="single" w:sz="4" w:space="0" w:color="auto"/>
            </w:tcBorders>
            <w:noWrap/>
            <w:vAlign w:val="bottom"/>
            <w:hideMark/>
          </w:tcPr>
          <w:p w:rsidR="00D83846" w:rsidRPr="00895054" w:rsidRDefault="00D83846" w:rsidP="00D83846">
            <w:pPr>
              <w:keepNext/>
              <w:keepLines/>
              <w:spacing w:after="0" w:line="240" w:lineRule="auto"/>
              <w:jc w:val="right"/>
              <w:rPr>
                <w:rFonts w:ascii="Times New Roman" w:eastAsia="Times New Roman" w:hAnsi="Times New Roman"/>
                <w:color w:val="000000"/>
                <w:sz w:val="18"/>
                <w:szCs w:val="18"/>
                <w:lang w:eastAsia="en-GB"/>
              </w:rPr>
            </w:pPr>
            <w:r w:rsidRPr="00895054">
              <w:rPr>
                <w:rFonts w:ascii="Times New Roman" w:eastAsia="Times New Roman" w:hAnsi="Times New Roman"/>
                <w:color w:val="000000"/>
                <w:sz w:val="18"/>
                <w:szCs w:val="18"/>
                <w:lang w:eastAsia="en-GB"/>
              </w:rPr>
              <w:t xml:space="preserve">       4,417,891,799 </w:t>
            </w:r>
          </w:p>
        </w:tc>
        <w:tc>
          <w:tcPr>
            <w:tcW w:w="1251" w:type="dxa"/>
            <w:tcBorders>
              <w:top w:val="nil"/>
              <w:left w:val="nil"/>
              <w:bottom w:val="single" w:sz="4" w:space="0" w:color="auto"/>
              <w:right w:val="single" w:sz="4" w:space="0" w:color="auto"/>
            </w:tcBorders>
            <w:noWrap/>
            <w:vAlign w:val="bottom"/>
            <w:hideMark/>
          </w:tcPr>
          <w:p w:rsidR="00D83846" w:rsidRPr="00895054" w:rsidRDefault="00D83846" w:rsidP="00D83846">
            <w:pPr>
              <w:keepNext/>
              <w:keepLines/>
              <w:spacing w:after="0" w:line="240" w:lineRule="auto"/>
              <w:jc w:val="right"/>
              <w:rPr>
                <w:rFonts w:ascii="Times New Roman" w:eastAsia="Times New Roman" w:hAnsi="Times New Roman"/>
                <w:color w:val="000000"/>
                <w:sz w:val="18"/>
                <w:szCs w:val="18"/>
                <w:lang w:eastAsia="en-GB"/>
              </w:rPr>
            </w:pPr>
            <w:r w:rsidRPr="00895054">
              <w:rPr>
                <w:rFonts w:ascii="Times New Roman" w:eastAsia="Times New Roman" w:hAnsi="Times New Roman"/>
                <w:color w:val="000000"/>
                <w:sz w:val="18"/>
                <w:szCs w:val="18"/>
                <w:lang w:eastAsia="en-GB"/>
              </w:rPr>
              <w:t xml:space="preserve">       5,422,924,381 </w:t>
            </w:r>
          </w:p>
        </w:tc>
        <w:tc>
          <w:tcPr>
            <w:tcW w:w="1251" w:type="dxa"/>
            <w:tcBorders>
              <w:top w:val="nil"/>
              <w:left w:val="nil"/>
              <w:bottom w:val="single" w:sz="4" w:space="0" w:color="auto"/>
              <w:right w:val="single" w:sz="4" w:space="0" w:color="auto"/>
            </w:tcBorders>
            <w:noWrap/>
            <w:vAlign w:val="bottom"/>
            <w:hideMark/>
          </w:tcPr>
          <w:p w:rsidR="00D83846" w:rsidRPr="00895054" w:rsidRDefault="00D83846" w:rsidP="00D83846">
            <w:pPr>
              <w:keepNext/>
              <w:keepLines/>
              <w:spacing w:after="0" w:line="240" w:lineRule="auto"/>
              <w:jc w:val="right"/>
              <w:rPr>
                <w:rFonts w:ascii="Times New Roman" w:eastAsia="Times New Roman" w:hAnsi="Times New Roman"/>
                <w:color w:val="000000"/>
                <w:sz w:val="18"/>
                <w:szCs w:val="18"/>
                <w:lang w:eastAsia="en-GB"/>
              </w:rPr>
            </w:pPr>
            <w:r w:rsidRPr="00895054">
              <w:rPr>
                <w:rFonts w:ascii="Times New Roman" w:eastAsia="Times New Roman" w:hAnsi="Times New Roman"/>
                <w:color w:val="000000"/>
                <w:sz w:val="18"/>
                <w:szCs w:val="18"/>
                <w:lang w:eastAsia="en-GB"/>
              </w:rPr>
              <w:t xml:space="preserve">       6,389,251,797 </w:t>
            </w:r>
          </w:p>
        </w:tc>
        <w:tc>
          <w:tcPr>
            <w:tcW w:w="1251" w:type="dxa"/>
            <w:tcBorders>
              <w:top w:val="nil"/>
              <w:left w:val="nil"/>
              <w:bottom w:val="single" w:sz="4" w:space="0" w:color="auto"/>
              <w:right w:val="single" w:sz="4" w:space="0" w:color="auto"/>
            </w:tcBorders>
            <w:noWrap/>
            <w:vAlign w:val="bottom"/>
            <w:hideMark/>
          </w:tcPr>
          <w:p w:rsidR="00D83846" w:rsidRPr="00895054" w:rsidRDefault="00D83846" w:rsidP="00D83846">
            <w:pPr>
              <w:keepNext/>
              <w:keepLines/>
              <w:spacing w:after="0" w:line="240" w:lineRule="auto"/>
              <w:jc w:val="right"/>
              <w:rPr>
                <w:rFonts w:ascii="Times New Roman" w:eastAsia="Times New Roman" w:hAnsi="Times New Roman"/>
                <w:color w:val="000000"/>
                <w:sz w:val="18"/>
                <w:szCs w:val="18"/>
                <w:lang w:eastAsia="en-GB"/>
              </w:rPr>
            </w:pPr>
            <w:r w:rsidRPr="00895054">
              <w:rPr>
                <w:rFonts w:ascii="Times New Roman" w:eastAsia="Times New Roman" w:hAnsi="Times New Roman"/>
                <w:color w:val="000000"/>
                <w:sz w:val="18"/>
                <w:szCs w:val="18"/>
                <w:lang w:eastAsia="en-GB"/>
              </w:rPr>
              <w:t xml:space="preserve">       7,663,403,829 </w:t>
            </w:r>
          </w:p>
        </w:tc>
      </w:tr>
    </w:tbl>
    <w:p w:rsidR="00D83846" w:rsidRPr="00B418E4" w:rsidRDefault="00D83846" w:rsidP="00D83846">
      <w:pPr>
        <w:pStyle w:val="Heading2"/>
        <w:numPr>
          <w:ilvl w:val="0"/>
          <w:numId w:val="0"/>
        </w:numPr>
        <w:spacing w:line="360" w:lineRule="auto"/>
        <w:jc w:val="left"/>
        <w:rPr>
          <w:rStyle w:val="Emphasis"/>
          <w:rFonts w:ascii="Times New Roman" w:hAnsi="Times New Roman"/>
          <w:b w:val="0"/>
          <w:sz w:val="20"/>
          <w:szCs w:val="20"/>
        </w:rPr>
      </w:pPr>
      <w:r w:rsidRPr="00B418E4">
        <w:rPr>
          <w:rStyle w:val="Emphasis"/>
          <w:rFonts w:ascii="Times New Roman" w:hAnsi="Times New Roman"/>
          <w:sz w:val="20"/>
          <w:szCs w:val="20"/>
        </w:rPr>
        <w:t xml:space="preserve">Source: </w:t>
      </w:r>
      <w:r w:rsidRPr="00B418E4">
        <w:rPr>
          <w:rStyle w:val="Emphasis"/>
          <w:rFonts w:ascii="Times New Roman" w:hAnsi="Times New Roman"/>
          <w:b w:val="0"/>
          <w:sz w:val="20"/>
          <w:szCs w:val="20"/>
        </w:rPr>
        <w:t xml:space="preserve">FDIC Call Reports  </w:t>
      </w:r>
    </w:p>
    <w:p w:rsidR="00A96C90" w:rsidRDefault="00E82BFD" w:rsidP="00A96C90">
      <w:pPr>
        <w:spacing w:line="360" w:lineRule="auto"/>
        <w:outlineLvl w:val="0"/>
        <w:rPr>
          <w:rStyle w:val="Emphasis"/>
          <w:rFonts w:ascii="Times New Roman" w:hAnsi="Times New Roman"/>
          <w:i w:val="0"/>
        </w:rPr>
      </w:pPr>
      <w:r>
        <w:rPr>
          <w:rStyle w:val="Emphasis"/>
          <w:rFonts w:ascii="Times New Roman" w:hAnsi="Times New Roman"/>
          <w:i w:val="0"/>
        </w:rPr>
        <w:br/>
      </w:r>
      <w:r w:rsidR="009A2135">
        <w:rPr>
          <w:rStyle w:val="Emphasis"/>
          <w:rFonts w:ascii="Times New Roman" w:hAnsi="Times New Roman"/>
          <w:i w:val="0"/>
        </w:rPr>
        <w:t>With</w:t>
      </w:r>
      <w:r w:rsidR="00831262">
        <w:rPr>
          <w:rStyle w:val="Emphasis"/>
          <w:rFonts w:ascii="Times New Roman" w:hAnsi="Times New Roman"/>
          <w:i w:val="0"/>
        </w:rPr>
        <w:t xml:space="preserve"> CDS on RMBS being the fasted growing segment of credit derivatives which </w:t>
      </w:r>
      <w:r w:rsidR="001426D2">
        <w:rPr>
          <w:rStyle w:val="Emphasis"/>
          <w:rFonts w:ascii="Times New Roman" w:hAnsi="Times New Roman"/>
          <w:i w:val="0"/>
        </w:rPr>
        <w:t>had gross notional</w:t>
      </w:r>
      <w:r w:rsidR="00831262">
        <w:rPr>
          <w:rStyle w:val="Emphasis"/>
          <w:rFonts w:ascii="Times New Roman" w:hAnsi="Times New Roman"/>
          <w:i w:val="0"/>
        </w:rPr>
        <w:t xml:space="preserve"> valued </w:t>
      </w:r>
      <w:r w:rsidR="00B418E4">
        <w:rPr>
          <w:rStyle w:val="Emphasis"/>
          <w:rFonts w:ascii="Times New Roman" w:hAnsi="Times New Roman"/>
          <w:i w:val="0"/>
        </w:rPr>
        <w:t xml:space="preserve">for FDIC US banks </w:t>
      </w:r>
      <w:r w:rsidR="00831262">
        <w:rPr>
          <w:rStyle w:val="Emphasis"/>
          <w:rFonts w:ascii="Times New Roman" w:hAnsi="Times New Roman"/>
          <w:i w:val="0"/>
        </w:rPr>
        <w:t xml:space="preserve">at $2. 645 Trillion in 2006 Q1 and rising to </w:t>
      </w:r>
      <w:r w:rsidR="00E148EA">
        <w:rPr>
          <w:rStyle w:val="Emphasis"/>
          <w:rFonts w:ascii="Times New Roman" w:hAnsi="Times New Roman"/>
          <w:i w:val="0"/>
        </w:rPr>
        <w:t>$</w:t>
      </w:r>
      <w:r w:rsidR="00831262">
        <w:rPr>
          <w:rStyle w:val="Emphasis"/>
          <w:rFonts w:ascii="Times New Roman" w:hAnsi="Times New Roman"/>
          <w:i w:val="0"/>
        </w:rPr>
        <w:t>7.663 Trillion in 2007 Q3</w:t>
      </w:r>
      <w:r w:rsidR="00E148EA">
        <w:rPr>
          <w:rStyle w:val="Emphasis"/>
          <w:rFonts w:ascii="Times New Roman" w:hAnsi="Times New Roman"/>
          <w:i w:val="0"/>
        </w:rPr>
        <w:t xml:space="preserve"> (see Table  </w:t>
      </w:r>
      <w:r w:rsidR="00AA27E4">
        <w:rPr>
          <w:rStyle w:val="Emphasis"/>
          <w:rFonts w:ascii="Times New Roman" w:hAnsi="Times New Roman"/>
          <w:i w:val="0"/>
        </w:rPr>
        <w:t>3</w:t>
      </w:r>
      <w:r w:rsidR="00E148EA">
        <w:rPr>
          <w:rStyle w:val="Emphasis"/>
          <w:rFonts w:ascii="Times New Roman" w:hAnsi="Times New Roman"/>
          <w:i w:val="0"/>
        </w:rPr>
        <w:t>)</w:t>
      </w:r>
      <w:r w:rsidR="00831262">
        <w:rPr>
          <w:rStyle w:val="Emphasis"/>
          <w:rFonts w:ascii="Times New Roman" w:hAnsi="Times New Roman"/>
          <w:i w:val="0"/>
        </w:rPr>
        <w:t xml:space="preserve">, </w:t>
      </w:r>
      <w:r w:rsidR="006714B1">
        <w:rPr>
          <w:rStyle w:val="Emphasis"/>
          <w:rFonts w:ascii="Times New Roman" w:hAnsi="Times New Roman"/>
          <w:i w:val="0"/>
        </w:rPr>
        <w:t xml:space="preserve">we will complete our analysis by </w:t>
      </w:r>
      <w:r w:rsidR="00C912E9">
        <w:rPr>
          <w:rStyle w:val="Emphasis"/>
          <w:rFonts w:ascii="Times New Roman" w:hAnsi="Times New Roman"/>
          <w:i w:val="0"/>
        </w:rPr>
        <w:t xml:space="preserve">coming to the heart of </w:t>
      </w:r>
      <w:r w:rsidR="00BA76CE">
        <w:rPr>
          <w:rStyle w:val="Emphasis"/>
          <w:rFonts w:ascii="Times New Roman" w:hAnsi="Times New Roman"/>
          <w:i w:val="0"/>
        </w:rPr>
        <w:t xml:space="preserve">the </w:t>
      </w:r>
      <w:r w:rsidR="00C912E9">
        <w:rPr>
          <w:rStyle w:val="Emphasis"/>
          <w:rFonts w:ascii="Times New Roman" w:hAnsi="Times New Roman"/>
          <w:i w:val="0"/>
        </w:rPr>
        <w:t xml:space="preserve">rationale </w:t>
      </w:r>
      <w:r>
        <w:rPr>
          <w:rStyle w:val="Emphasis"/>
          <w:rFonts w:ascii="Times New Roman" w:hAnsi="Times New Roman"/>
          <w:i w:val="0"/>
        </w:rPr>
        <w:t xml:space="preserve">of </w:t>
      </w:r>
      <w:r w:rsidR="00E148EA">
        <w:rPr>
          <w:rStyle w:val="Emphasis"/>
          <w:rFonts w:ascii="Times New Roman" w:hAnsi="Times New Roman"/>
          <w:i w:val="0"/>
        </w:rPr>
        <w:t xml:space="preserve"> CDS based </w:t>
      </w:r>
      <w:r>
        <w:rPr>
          <w:rStyle w:val="Emphasis"/>
          <w:rFonts w:ascii="Times New Roman" w:hAnsi="Times New Roman"/>
          <w:i w:val="0"/>
        </w:rPr>
        <w:t xml:space="preserve">CRT </w:t>
      </w:r>
      <w:r w:rsidR="00C912E9">
        <w:rPr>
          <w:rStyle w:val="Emphasis"/>
          <w:rFonts w:ascii="Times New Roman" w:hAnsi="Times New Roman"/>
          <w:i w:val="0"/>
        </w:rPr>
        <w:t>in Basel II and its US precursor</w:t>
      </w:r>
      <w:r w:rsidR="00B418E4">
        <w:rPr>
          <w:rStyle w:val="Emphasis"/>
          <w:rFonts w:ascii="Times New Roman" w:hAnsi="Times New Roman"/>
          <w:i w:val="0"/>
        </w:rPr>
        <w:t xml:space="preserve"> in the</w:t>
      </w:r>
      <w:r w:rsidR="00C912E9">
        <w:rPr>
          <w:rStyle w:val="Emphasis"/>
          <w:rFonts w:ascii="Times New Roman" w:hAnsi="Times New Roman"/>
          <w:i w:val="0"/>
        </w:rPr>
        <w:t xml:space="preserve"> </w:t>
      </w:r>
      <w:r w:rsidR="00C912E9" w:rsidRPr="00994DC2">
        <w:rPr>
          <w:rFonts w:ascii="Times New Roman" w:hAnsi="Times New Roman"/>
        </w:rPr>
        <w:t>Joint Agencies Rule 66 Fed</w:t>
      </w:r>
      <w:r w:rsidR="00B5719E">
        <w:rPr>
          <w:rFonts w:ascii="Times New Roman" w:hAnsi="Times New Roman"/>
        </w:rPr>
        <w:t xml:space="preserve">eral </w:t>
      </w:r>
      <w:r w:rsidR="00C912E9" w:rsidRPr="00994DC2">
        <w:rPr>
          <w:rFonts w:ascii="Times New Roman" w:hAnsi="Times New Roman"/>
        </w:rPr>
        <w:t>Reg</w:t>
      </w:r>
      <w:r w:rsidR="00B5719E">
        <w:rPr>
          <w:rFonts w:ascii="Times New Roman" w:hAnsi="Times New Roman"/>
        </w:rPr>
        <w:t>ulation No</w:t>
      </w:r>
      <w:r w:rsidR="00C912E9" w:rsidRPr="00994DC2">
        <w:rPr>
          <w:rFonts w:ascii="Times New Roman" w:hAnsi="Times New Roman"/>
        </w:rPr>
        <w:t>. 56914</w:t>
      </w:r>
      <w:r w:rsidR="00E148EA">
        <w:rPr>
          <w:rFonts w:ascii="Times New Roman" w:hAnsi="Times New Roman"/>
        </w:rPr>
        <w:t xml:space="preserve">. </w:t>
      </w:r>
      <w:r w:rsidR="008B5321">
        <w:rPr>
          <w:rStyle w:val="Emphasis"/>
          <w:rFonts w:ascii="Times New Roman" w:hAnsi="Times New Roman"/>
          <w:i w:val="0"/>
        </w:rPr>
        <w:t>The premise was that credit protection is</w:t>
      </w:r>
      <w:r w:rsidR="00DA038A">
        <w:rPr>
          <w:rStyle w:val="Emphasis"/>
          <w:rFonts w:ascii="Times New Roman" w:hAnsi="Times New Roman"/>
          <w:i w:val="0"/>
        </w:rPr>
        <w:t xml:space="preserve"> spread across </w:t>
      </w:r>
      <w:r w:rsidR="008B5321">
        <w:rPr>
          <w:rStyle w:val="Emphasis"/>
          <w:rFonts w:ascii="Times New Roman" w:hAnsi="Times New Roman"/>
          <w:i w:val="0"/>
        </w:rPr>
        <w:t xml:space="preserve">those better placed to do this and </w:t>
      </w:r>
      <w:r w:rsidR="00DA038A">
        <w:rPr>
          <w:rStyle w:val="Emphasis"/>
          <w:rFonts w:ascii="Times New Roman" w:hAnsi="Times New Roman"/>
          <w:i w:val="0"/>
        </w:rPr>
        <w:t xml:space="preserve">hence </w:t>
      </w:r>
      <w:r w:rsidR="008B5321">
        <w:rPr>
          <w:rStyle w:val="Emphasis"/>
          <w:rFonts w:ascii="Times New Roman" w:hAnsi="Times New Roman"/>
          <w:i w:val="0"/>
        </w:rPr>
        <w:t>AAA financial institutions primarily in the US began to get involved in this</w:t>
      </w:r>
      <w:r w:rsidR="00DA038A">
        <w:rPr>
          <w:rStyle w:val="Emphasis"/>
          <w:rFonts w:ascii="Times New Roman" w:hAnsi="Times New Roman"/>
          <w:i w:val="0"/>
        </w:rPr>
        <w:t xml:space="preserve"> activity</w:t>
      </w:r>
      <w:r w:rsidR="008B5321">
        <w:rPr>
          <w:rStyle w:val="Emphasis"/>
          <w:rFonts w:ascii="Times New Roman" w:hAnsi="Times New Roman"/>
          <w:i w:val="0"/>
        </w:rPr>
        <w:t xml:space="preserve">. </w:t>
      </w:r>
      <w:r w:rsidR="00E148EA">
        <w:rPr>
          <w:rStyle w:val="Emphasis"/>
          <w:rFonts w:ascii="Times New Roman" w:hAnsi="Times New Roman"/>
          <w:i w:val="0"/>
        </w:rPr>
        <w:t xml:space="preserve"> </w:t>
      </w:r>
      <w:r w:rsidR="008B5321">
        <w:rPr>
          <w:rStyle w:val="Emphasis"/>
          <w:rFonts w:ascii="Times New Roman" w:hAnsi="Times New Roman"/>
          <w:i w:val="0"/>
        </w:rPr>
        <w:t>However</w:t>
      </w:r>
      <w:r w:rsidR="00962CE0">
        <w:rPr>
          <w:rStyle w:val="Emphasis"/>
          <w:rFonts w:ascii="Times New Roman" w:hAnsi="Times New Roman"/>
          <w:i w:val="0"/>
        </w:rPr>
        <w:t>,</w:t>
      </w:r>
      <w:r w:rsidR="008B5321">
        <w:rPr>
          <w:rStyle w:val="Emphasis"/>
          <w:rFonts w:ascii="Times New Roman" w:hAnsi="Times New Roman"/>
          <w:i w:val="0"/>
        </w:rPr>
        <w:t xml:space="preserve"> </w:t>
      </w:r>
      <w:r w:rsidR="00DA038A">
        <w:rPr>
          <w:rStyle w:val="Emphasis"/>
          <w:rFonts w:ascii="Times New Roman" w:hAnsi="Times New Roman"/>
          <w:i w:val="0"/>
        </w:rPr>
        <w:t>similar to the argument made by Darby (</w:t>
      </w:r>
      <w:r w:rsidR="00D360A1">
        <w:rPr>
          <w:rStyle w:val="Emphasis"/>
          <w:rFonts w:ascii="Times New Roman" w:hAnsi="Times New Roman"/>
          <w:i w:val="0"/>
        </w:rPr>
        <w:t>1994</w:t>
      </w:r>
      <w:r w:rsidR="00DA038A">
        <w:rPr>
          <w:rStyle w:val="Emphasis"/>
          <w:rFonts w:ascii="Times New Roman" w:hAnsi="Times New Roman"/>
          <w:i w:val="0"/>
        </w:rPr>
        <w:t>) about derivatives markets</w:t>
      </w:r>
      <w:r w:rsidR="004B6EA9">
        <w:rPr>
          <w:rStyle w:val="Emphasis"/>
          <w:rFonts w:ascii="Times New Roman" w:hAnsi="Times New Roman"/>
          <w:i w:val="0"/>
        </w:rPr>
        <w:t xml:space="preserve"> </w:t>
      </w:r>
      <w:r w:rsidR="0076310C">
        <w:rPr>
          <w:rStyle w:val="Emphasis"/>
          <w:rFonts w:ascii="Times New Roman" w:hAnsi="Times New Roman"/>
          <w:i w:val="0"/>
        </w:rPr>
        <w:t xml:space="preserve">in </w:t>
      </w:r>
      <w:r w:rsidR="004B6EA9">
        <w:rPr>
          <w:rStyle w:val="Emphasis"/>
          <w:rFonts w:ascii="Times New Roman" w:hAnsi="Times New Roman"/>
          <w:i w:val="0"/>
        </w:rPr>
        <w:t>general</w:t>
      </w:r>
      <w:r w:rsidR="00DA038A">
        <w:rPr>
          <w:rStyle w:val="Emphasis"/>
          <w:rFonts w:ascii="Times New Roman" w:hAnsi="Times New Roman"/>
          <w:i w:val="0"/>
        </w:rPr>
        <w:t xml:space="preserve">, many </w:t>
      </w:r>
      <w:r w:rsidR="000A6857">
        <w:rPr>
          <w:rStyle w:val="Emphasis"/>
          <w:rFonts w:ascii="Times New Roman" w:hAnsi="Times New Roman"/>
          <w:i w:val="0"/>
        </w:rPr>
        <w:t>(see Lucas</w:t>
      </w:r>
      <w:r w:rsidR="00E148EA">
        <w:rPr>
          <w:rStyle w:val="Emphasis"/>
          <w:rFonts w:ascii="Times New Roman" w:hAnsi="Times New Roman"/>
          <w:i w:val="0"/>
        </w:rPr>
        <w:t xml:space="preserve"> </w:t>
      </w:r>
      <w:r w:rsidR="00E148EA">
        <w:rPr>
          <w:rStyle w:val="Emphasis"/>
          <w:rFonts w:ascii="Times New Roman" w:hAnsi="Times New Roman"/>
        </w:rPr>
        <w:t xml:space="preserve">et. al. </w:t>
      </w:r>
      <w:r w:rsidR="00AA27E4">
        <w:rPr>
          <w:rStyle w:val="Emphasis"/>
          <w:rFonts w:ascii="Times New Roman" w:hAnsi="Times New Roman"/>
          <w:i w:val="0"/>
        </w:rPr>
        <w:t>2007</w:t>
      </w:r>
      <w:r w:rsidR="004044CF">
        <w:rPr>
          <w:rStyle w:val="Emphasis"/>
          <w:rFonts w:ascii="Times New Roman" w:hAnsi="Times New Roman"/>
          <w:i w:val="0"/>
        </w:rPr>
        <w:t>,</w:t>
      </w:r>
      <w:r w:rsidR="004B6EA9">
        <w:rPr>
          <w:rStyle w:val="Emphasis"/>
          <w:rFonts w:ascii="Times New Roman" w:hAnsi="Times New Roman"/>
          <w:i w:val="0"/>
        </w:rPr>
        <w:t xml:space="preserve"> Das</w:t>
      </w:r>
      <w:proofErr w:type="gramStart"/>
      <w:r w:rsidR="00AA27E4">
        <w:rPr>
          <w:rStyle w:val="Emphasis"/>
          <w:rFonts w:ascii="Times New Roman" w:hAnsi="Times New Roman"/>
          <w:i w:val="0"/>
        </w:rPr>
        <w:t>,2010</w:t>
      </w:r>
      <w:proofErr w:type="gramEnd"/>
      <w:r w:rsidR="004B6EA9">
        <w:rPr>
          <w:rStyle w:val="Emphasis"/>
          <w:rFonts w:ascii="Times New Roman" w:hAnsi="Times New Roman"/>
          <w:i w:val="0"/>
        </w:rPr>
        <w:t xml:space="preserve"> and Gibson , 2007))</w:t>
      </w:r>
      <w:r w:rsidR="004044CF">
        <w:rPr>
          <w:rStyle w:val="Emphasis"/>
          <w:rFonts w:ascii="Times New Roman" w:hAnsi="Times New Roman"/>
          <w:i w:val="0"/>
        </w:rPr>
        <w:t xml:space="preserve">  </w:t>
      </w:r>
      <w:r w:rsidR="00DA038A">
        <w:rPr>
          <w:rStyle w:val="Emphasis"/>
          <w:rFonts w:ascii="Times New Roman" w:hAnsi="Times New Roman"/>
          <w:i w:val="0"/>
        </w:rPr>
        <w:t>have noted t</w:t>
      </w:r>
      <w:r w:rsidR="00721B22">
        <w:rPr>
          <w:rStyle w:val="Emphasis"/>
          <w:rFonts w:ascii="Times New Roman" w:hAnsi="Times New Roman"/>
          <w:i w:val="0"/>
        </w:rPr>
        <w:t xml:space="preserve">hat </w:t>
      </w:r>
      <w:r w:rsidR="00721B22" w:rsidRPr="00721B22">
        <w:rPr>
          <w:rFonts w:ascii="Times New Roman" w:hAnsi="Times New Roman"/>
        </w:rPr>
        <w:t>the benefits of CRT will be compromised by the structural concentration of the CDS protection providers</w:t>
      </w:r>
      <w:r w:rsidR="00962CE0">
        <w:rPr>
          <w:rFonts w:ascii="Times New Roman" w:hAnsi="Times New Roman"/>
        </w:rPr>
        <w:t>.</w:t>
      </w:r>
      <w:r w:rsidR="00721B22" w:rsidRPr="00721B22">
        <w:rPr>
          <w:rFonts w:ascii="Times New Roman" w:hAnsi="Times New Roman"/>
        </w:rPr>
        <w:t xml:space="preserve"> </w:t>
      </w:r>
      <w:r w:rsidR="00962CE0">
        <w:rPr>
          <w:rFonts w:ascii="Times New Roman" w:hAnsi="Times New Roman"/>
        </w:rPr>
        <w:t>F</w:t>
      </w:r>
      <w:r w:rsidR="00721B22" w:rsidRPr="00721B22">
        <w:rPr>
          <w:rFonts w:ascii="Times New Roman" w:hAnsi="Times New Roman"/>
        </w:rPr>
        <w:t xml:space="preserve">ew have provided the </w:t>
      </w:r>
      <w:r w:rsidR="00962CE0">
        <w:rPr>
          <w:rFonts w:ascii="Times New Roman" w:hAnsi="Times New Roman"/>
        </w:rPr>
        <w:t xml:space="preserve">empirical </w:t>
      </w:r>
      <w:r w:rsidR="00481F05">
        <w:rPr>
          <w:rFonts w:ascii="Times New Roman" w:hAnsi="Times New Roman"/>
        </w:rPr>
        <w:t xml:space="preserve">evidence for </w:t>
      </w:r>
      <w:r w:rsidR="00136EDF">
        <w:rPr>
          <w:rFonts w:ascii="Times New Roman" w:hAnsi="Times New Roman"/>
        </w:rPr>
        <w:t xml:space="preserve">the </w:t>
      </w:r>
      <w:r w:rsidR="00962CE0">
        <w:rPr>
          <w:rFonts w:ascii="Times New Roman" w:hAnsi="Times New Roman"/>
        </w:rPr>
        <w:t xml:space="preserve">systemic risk consequences </w:t>
      </w:r>
      <w:r w:rsidR="00481F05">
        <w:rPr>
          <w:rFonts w:ascii="Times New Roman" w:hAnsi="Times New Roman"/>
        </w:rPr>
        <w:t xml:space="preserve">of what is called </w:t>
      </w:r>
      <w:r w:rsidR="00481F05">
        <w:rPr>
          <w:rFonts w:ascii="Times New Roman" w:hAnsi="Times New Roman"/>
          <w:i/>
        </w:rPr>
        <w:t xml:space="preserve">too interconnected to </w:t>
      </w:r>
      <w:r w:rsidR="00481F05" w:rsidRPr="00481F05">
        <w:rPr>
          <w:rFonts w:ascii="Times New Roman" w:hAnsi="Times New Roman"/>
          <w:i/>
        </w:rPr>
        <w:t>fail</w:t>
      </w:r>
      <w:r w:rsidR="000A6857">
        <w:rPr>
          <w:rFonts w:ascii="Times New Roman" w:hAnsi="Times New Roman"/>
        </w:rPr>
        <w:t xml:space="preserve"> </w:t>
      </w:r>
      <w:r w:rsidR="00136EDF">
        <w:rPr>
          <w:rFonts w:ascii="Times New Roman" w:hAnsi="Times New Roman"/>
        </w:rPr>
        <w:t xml:space="preserve">which </w:t>
      </w:r>
      <w:r w:rsidR="000A6857">
        <w:rPr>
          <w:rFonts w:ascii="Times New Roman" w:hAnsi="Times New Roman"/>
        </w:rPr>
        <w:t>aris</w:t>
      </w:r>
      <w:r w:rsidR="00136EDF">
        <w:rPr>
          <w:rFonts w:ascii="Times New Roman" w:hAnsi="Times New Roman"/>
        </w:rPr>
        <w:t>es</w:t>
      </w:r>
      <w:r w:rsidR="000A6857">
        <w:rPr>
          <w:rFonts w:ascii="Times New Roman" w:hAnsi="Times New Roman"/>
        </w:rPr>
        <w:t xml:space="preserve"> from the heavy concentration of </w:t>
      </w:r>
      <w:r w:rsidR="004B6EA9">
        <w:rPr>
          <w:rFonts w:ascii="Times New Roman" w:hAnsi="Times New Roman"/>
        </w:rPr>
        <w:t xml:space="preserve">CDS </w:t>
      </w:r>
      <w:r w:rsidR="000A6857">
        <w:rPr>
          <w:rFonts w:ascii="Times New Roman" w:hAnsi="Times New Roman"/>
        </w:rPr>
        <w:t>market activity of upwards of 95%</w:t>
      </w:r>
      <w:r w:rsidR="00BF111D">
        <w:rPr>
          <w:rFonts w:ascii="Times New Roman" w:hAnsi="Times New Roman"/>
        </w:rPr>
        <w:t xml:space="preserve"> in 2006 Q3 to over  97% in 2007 </w:t>
      </w:r>
      <w:r w:rsidR="000A6857">
        <w:rPr>
          <w:rFonts w:ascii="Times New Roman" w:hAnsi="Times New Roman"/>
        </w:rPr>
        <w:t xml:space="preserve"> within the same set of only 5 counterparties.  </w:t>
      </w:r>
    </w:p>
    <w:p w:rsidR="00BF111D" w:rsidRPr="00615061" w:rsidRDefault="00615061" w:rsidP="00DA1171">
      <w:pPr>
        <w:pStyle w:val="Heading2"/>
        <w:numPr>
          <w:ilvl w:val="0"/>
          <w:numId w:val="0"/>
        </w:numPr>
        <w:spacing w:line="360" w:lineRule="auto"/>
        <w:jc w:val="left"/>
        <w:rPr>
          <w:rStyle w:val="Emphasis"/>
          <w:rFonts w:ascii="Times New Roman" w:hAnsi="Times New Roman"/>
          <w:b w:val="0"/>
          <w:sz w:val="22"/>
          <w:szCs w:val="22"/>
        </w:rPr>
      </w:pPr>
      <w:r>
        <w:rPr>
          <w:rFonts w:ascii="Times New Roman" w:hAnsi="Times New Roman"/>
          <w:b w:val="0"/>
          <w:i w:val="0"/>
          <w:sz w:val="22"/>
          <w:szCs w:val="22"/>
        </w:rPr>
        <w:t>We will use t</w:t>
      </w:r>
      <w:r w:rsidR="00B842F8">
        <w:rPr>
          <w:rFonts w:ascii="Times New Roman" w:hAnsi="Times New Roman"/>
          <w:b w:val="0"/>
          <w:i w:val="0"/>
          <w:sz w:val="22"/>
          <w:szCs w:val="22"/>
        </w:rPr>
        <w:t xml:space="preserve">he Markose </w:t>
      </w:r>
      <w:proofErr w:type="gramStart"/>
      <w:r w:rsidR="00B842F8">
        <w:rPr>
          <w:rFonts w:ascii="Times New Roman" w:hAnsi="Times New Roman"/>
          <w:b w:val="0"/>
          <w:i w:val="0"/>
          <w:sz w:val="22"/>
          <w:szCs w:val="22"/>
        </w:rPr>
        <w:t>et</w:t>
      </w:r>
      <w:proofErr w:type="gramEnd"/>
      <w:r w:rsidR="00B842F8">
        <w:rPr>
          <w:rFonts w:ascii="Times New Roman" w:hAnsi="Times New Roman"/>
          <w:b w:val="0"/>
          <w:i w:val="0"/>
          <w:sz w:val="22"/>
          <w:szCs w:val="22"/>
        </w:rPr>
        <w:t>. al. (</w:t>
      </w:r>
      <w:r w:rsidR="000A6857">
        <w:rPr>
          <w:rFonts w:ascii="Times New Roman" w:hAnsi="Times New Roman"/>
          <w:b w:val="0"/>
          <w:i w:val="0"/>
          <w:sz w:val="22"/>
          <w:szCs w:val="22"/>
        </w:rPr>
        <w:t>2010)</w:t>
      </w:r>
      <w:r w:rsidR="00BF111D">
        <w:rPr>
          <w:rFonts w:ascii="Times New Roman" w:hAnsi="Times New Roman"/>
          <w:b w:val="0"/>
          <w:i w:val="0"/>
          <w:sz w:val="22"/>
          <w:szCs w:val="22"/>
        </w:rPr>
        <w:t xml:space="preserve"> </w:t>
      </w:r>
      <w:r>
        <w:rPr>
          <w:rFonts w:ascii="Times New Roman" w:hAnsi="Times New Roman"/>
          <w:b w:val="0"/>
          <w:i w:val="0"/>
          <w:sz w:val="22"/>
          <w:szCs w:val="22"/>
        </w:rPr>
        <w:t xml:space="preserve">and Markose </w:t>
      </w:r>
      <w:proofErr w:type="gramStart"/>
      <w:r w:rsidR="002C160D">
        <w:rPr>
          <w:rFonts w:ascii="Times New Roman" w:hAnsi="Times New Roman"/>
          <w:b w:val="0"/>
          <w:sz w:val="22"/>
          <w:szCs w:val="22"/>
        </w:rPr>
        <w:t>et</w:t>
      </w:r>
      <w:proofErr w:type="gramEnd"/>
      <w:r w:rsidR="002C160D">
        <w:rPr>
          <w:rFonts w:ascii="Times New Roman" w:hAnsi="Times New Roman"/>
          <w:b w:val="0"/>
          <w:sz w:val="22"/>
          <w:szCs w:val="22"/>
        </w:rPr>
        <w:t>. al.</w:t>
      </w:r>
      <w:r>
        <w:rPr>
          <w:rFonts w:ascii="Times New Roman" w:hAnsi="Times New Roman"/>
          <w:b w:val="0"/>
          <w:i w:val="0"/>
          <w:sz w:val="22"/>
          <w:szCs w:val="22"/>
        </w:rPr>
        <w:t xml:space="preserve"> (2011)</w:t>
      </w:r>
      <w:r w:rsidR="00DE0EE5">
        <w:rPr>
          <w:rStyle w:val="FootnoteReference"/>
          <w:rFonts w:ascii="Times New Roman" w:hAnsi="Times New Roman"/>
          <w:b w:val="0"/>
          <w:i w:val="0"/>
          <w:sz w:val="22"/>
          <w:szCs w:val="22"/>
        </w:rPr>
        <w:footnoteReference w:id="25"/>
      </w:r>
      <w:r>
        <w:rPr>
          <w:rFonts w:ascii="Times New Roman" w:hAnsi="Times New Roman"/>
          <w:b w:val="0"/>
          <w:i w:val="0"/>
          <w:sz w:val="22"/>
          <w:szCs w:val="22"/>
        </w:rPr>
        <w:t xml:space="preserve"> </w:t>
      </w:r>
      <w:proofErr w:type="gramStart"/>
      <w:r>
        <w:rPr>
          <w:rFonts w:ascii="Times New Roman" w:hAnsi="Times New Roman"/>
          <w:b w:val="0"/>
          <w:i w:val="0"/>
          <w:sz w:val="22"/>
          <w:szCs w:val="22"/>
        </w:rPr>
        <w:t>CDS  network</w:t>
      </w:r>
      <w:proofErr w:type="gramEnd"/>
      <w:r>
        <w:rPr>
          <w:rFonts w:ascii="Times New Roman" w:hAnsi="Times New Roman"/>
          <w:b w:val="0"/>
          <w:i w:val="0"/>
          <w:sz w:val="22"/>
          <w:szCs w:val="22"/>
        </w:rPr>
        <w:t xml:space="preserve"> simulator which runs on the</w:t>
      </w:r>
      <w:r w:rsidR="004B6EA9">
        <w:rPr>
          <w:rFonts w:ascii="Times New Roman" w:hAnsi="Times New Roman"/>
          <w:b w:val="0"/>
          <w:i w:val="0"/>
          <w:sz w:val="22"/>
          <w:szCs w:val="22"/>
        </w:rPr>
        <w:t xml:space="preserve"> </w:t>
      </w:r>
      <w:r>
        <w:rPr>
          <w:rFonts w:ascii="Times New Roman" w:hAnsi="Times New Roman"/>
          <w:b w:val="0"/>
          <w:i w:val="0"/>
          <w:sz w:val="22"/>
          <w:szCs w:val="22"/>
        </w:rPr>
        <w:t xml:space="preserve">FDIC data base. </w:t>
      </w:r>
      <w:r w:rsidR="00FB3EA1">
        <w:rPr>
          <w:rFonts w:ascii="Times New Roman" w:hAnsi="Times New Roman"/>
          <w:b w:val="0"/>
          <w:i w:val="0"/>
          <w:sz w:val="22"/>
          <w:szCs w:val="22"/>
        </w:rPr>
        <w:t xml:space="preserve"> </w:t>
      </w:r>
      <w:r w:rsidR="002C160D">
        <w:rPr>
          <w:rFonts w:ascii="Times New Roman" w:hAnsi="Times New Roman"/>
          <w:b w:val="0"/>
          <w:i w:val="0"/>
          <w:sz w:val="22"/>
          <w:szCs w:val="22"/>
        </w:rPr>
        <w:t>The CDS network in Figure 12 is for the post Lehman 2008 Q4 period</w:t>
      </w:r>
      <w:proofErr w:type="gramStart"/>
      <w:r w:rsidR="002C160D">
        <w:rPr>
          <w:rFonts w:ascii="Times New Roman" w:hAnsi="Times New Roman"/>
          <w:b w:val="0"/>
          <w:i w:val="0"/>
          <w:sz w:val="22"/>
          <w:szCs w:val="22"/>
        </w:rPr>
        <w:t>,  when</w:t>
      </w:r>
      <w:proofErr w:type="gramEnd"/>
      <w:r w:rsidR="002C160D">
        <w:rPr>
          <w:rFonts w:ascii="Times New Roman" w:hAnsi="Times New Roman"/>
          <w:b w:val="0"/>
          <w:i w:val="0"/>
          <w:sz w:val="22"/>
          <w:szCs w:val="22"/>
        </w:rPr>
        <w:t xml:space="preserve"> the network concentration was even greater than in 2007 Q4</w:t>
      </w:r>
      <w:r w:rsidR="00D83846">
        <w:rPr>
          <w:rFonts w:ascii="Times New Roman" w:hAnsi="Times New Roman"/>
          <w:b w:val="0"/>
          <w:i w:val="0"/>
          <w:sz w:val="22"/>
          <w:szCs w:val="22"/>
        </w:rPr>
        <w:t>.</w:t>
      </w:r>
      <w:r w:rsidR="002C160D">
        <w:rPr>
          <w:rFonts w:ascii="Times New Roman" w:hAnsi="Times New Roman"/>
          <w:b w:val="0"/>
          <w:i w:val="0"/>
          <w:sz w:val="22"/>
          <w:szCs w:val="22"/>
        </w:rPr>
        <w:t xml:space="preserve">  </w:t>
      </w:r>
      <w:r>
        <w:rPr>
          <w:rFonts w:ascii="Times New Roman" w:hAnsi="Times New Roman"/>
          <w:b w:val="0"/>
          <w:i w:val="0"/>
          <w:sz w:val="22"/>
          <w:szCs w:val="22"/>
        </w:rPr>
        <w:t>I</w:t>
      </w:r>
      <w:r w:rsidR="00BF111D">
        <w:rPr>
          <w:rFonts w:ascii="Times New Roman" w:hAnsi="Times New Roman"/>
          <w:b w:val="0"/>
          <w:i w:val="0"/>
          <w:sz w:val="22"/>
          <w:szCs w:val="22"/>
        </w:rPr>
        <w:t xml:space="preserve">n the </w:t>
      </w:r>
      <w:r w:rsidR="000A6857">
        <w:rPr>
          <w:rFonts w:ascii="Times New Roman" w:hAnsi="Times New Roman"/>
          <w:b w:val="0"/>
          <w:i w:val="0"/>
          <w:sz w:val="22"/>
          <w:szCs w:val="22"/>
        </w:rPr>
        <w:t xml:space="preserve">empirical mapping of the CDS network based on the </w:t>
      </w:r>
      <w:r w:rsidR="000A6857" w:rsidRPr="00BF111D">
        <w:rPr>
          <w:rStyle w:val="Emphasis"/>
          <w:rFonts w:ascii="Times New Roman" w:hAnsi="Times New Roman"/>
          <w:b w:val="0"/>
          <w:sz w:val="22"/>
          <w:szCs w:val="22"/>
        </w:rPr>
        <w:t>26 FDIC US banks involved in the US CDS market</w:t>
      </w:r>
      <w:r w:rsidR="00BF111D">
        <w:rPr>
          <w:rStyle w:val="Emphasis"/>
          <w:rFonts w:ascii="Times New Roman" w:hAnsi="Times New Roman"/>
          <w:b w:val="0"/>
          <w:sz w:val="22"/>
          <w:szCs w:val="22"/>
        </w:rPr>
        <w:t xml:space="preserve"> along with the non-bank </w:t>
      </w:r>
      <w:proofErr w:type="spellStart"/>
      <w:r w:rsidR="00BF111D">
        <w:rPr>
          <w:rStyle w:val="Emphasis"/>
          <w:rFonts w:ascii="Times New Roman" w:hAnsi="Times New Roman"/>
          <w:b w:val="0"/>
          <w:sz w:val="22"/>
          <w:szCs w:val="22"/>
        </w:rPr>
        <w:t>Monoline</w:t>
      </w:r>
      <w:proofErr w:type="spellEnd"/>
      <w:r w:rsidR="00BF111D">
        <w:rPr>
          <w:rStyle w:val="Emphasis"/>
          <w:rFonts w:ascii="Times New Roman" w:hAnsi="Times New Roman"/>
          <w:b w:val="0"/>
          <w:sz w:val="22"/>
          <w:szCs w:val="22"/>
        </w:rPr>
        <w:t xml:space="preserve"> and hedge fund CDS market participants</w:t>
      </w:r>
      <w:r w:rsidR="00DE0EE5">
        <w:rPr>
          <w:rStyle w:val="Emphasis"/>
          <w:rFonts w:ascii="Times New Roman" w:hAnsi="Times New Roman"/>
          <w:b w:val="0"/>
          <w:sz w:val="22"/>
          <w:szCs w:val="22"/>
        </w:rPr>
        <w:t xml:space="preserve"> </w:t>
      </w:r>
      <w:r w:rsidR="00DB3AAC">
        <w:rPr>
          <w:rStyle w:val="Emphasis"/>
          <w:rFonts w:ascii="Times New Roman" w:hAnsi="Times New Roman"/>
          <w:b w:val="0"/>
          <w:sz w:val="22"/>
          <w:szCs w:val="22"/>
        </w:rPr>
        <w:t xml:space="preserve">(given a </w:t>
      </w:r>
      <w:r w:rsidR="00A93905">
        <w:rPr>
          <w:rStyle w:val="Emphasis"/>
          <w:rFonts w:ascii="Times New Roman" w:hAnsi="Times New Roman"/>
          <w:b w:val="0"/>
          <w:sz w:val="22"/>
          <w:szCs w:val="22"/>
        </w:rPr>
        <w:t xml:space="preserve">calibrated </w:t>
      </w:r>
      <w:r w:rsidR="00DB3AAC">
        <w:rPr>
          <w:rStyle w:val="Emphasis"/>
          <w:rFonts w:ascii="Times New Roman" w:hAnsi="Times New Roman"/>
          <w:b w:val="0"/>
          <w:sz w:val="22"/>
          <w:szCs w:val="22"/>
        </w:rPr>
        <w:t>30% market share as net protection sellers)</w:t>
      </w:r>
      <w:r w:rsidR="00BF111D">
        <w:rPr>
          <w:rStyle w:val="Emphasis"/>
          <w:rFonts w:ascii="Times New Roman" w:hAnsi="Times New Roman"/>
          <w:b w:val="0"/>
          <w:sz w:val="22"/>
          <w:szCs w:val="22"/>
        </w:rPr>
        <w:t xml:space="preserve">, </w:t>
      </w:r>
      <w:r>
        <w:rPr>
          <w:rStyle w:val="Emphasis"/>
          <w:rFonts w:ascii="Times New Roman" w:hAnsi="Times New Roman"/>
          <w:b w:val="0"/>
          <w:sz w:val="22"/>
          <w:szCs w:val="22"/>
        </w:rPr>
        <w:t xml:space="preserve">we see </w:t>
      </w:r>
      <w:r w:rsidR="00BF111D">
        <w:rPr>
          <w:rStyle w:val="Emphasis"/>
          <w:rFonts w:ascii="Times New Roman" w:hAnsi="Times New Roman"/>
          <w:b w:val="0"/>
          <w:sz w:val="22"/>
          <w:szCs w:val="22"/>
        </w:rPr>
        <w:t xml:space="preserve">that the concentration of </w:t>
      </w:r>
      <w:r w:rsidR="00445D81">
        <w:rPr>
          <w:rStyle w:val="Emphasis"/>
          <w:rFonts w:ascii="Times New Roman" w:hAnsi="Times New Roman"/>
          <w:b w:val="0"/>
          <w:sz w:val="22"/>
          <w:szCs w:val="22"/>
        </w:rPr>
        <w:t xml:space="preserve">CDS </w:t>
      </w:r>
      <w:r w:rsidR="00BF111D">
        <w:rPr>
          <w:rStyle w:val="Emphasis"/>
          <w:rFonts w:ascii="Times New Roman" w:hAnsi="Times New Roman"/>
          <w:b w:val="0"/>
          <w:sz w:val="22"/>
          <w:szCs w:val="22"/>
        </w:rPr>
        <w:t>market share in 5 top banks imply</w:t>
      </w:r>
      <w:r w:rsidR="00445D81">
        <w:rPr>
          <w:rStyle w:val="Emphasis"/>
          <w:rFonts w:ascii="Times New Roman" w:hAnsi="Times New Roman"/>
          <w:b w:val="0"/>
          <w:sz w:val="22"/>
          <w:szCs w:val="22"/>
        </w:rPr>
        <w:t xml:space="preserve"> </w:t>
      </w:r>
      <w:r w:rsidR="00445D81" w:rsidRPr="00445D81">
        <w:rPr>
          <w:rFonts w:ascii="Times New Roman" w:hAnsi="Times New Roman"/>
          <w:b w:val="0"/>
          <w:i w:val="0"/>
          <w:sz w:val="22"/>
          <w:szCs w:val="22"/>
        </w:rPr>
        <w:t xml:space="preserve">very high </w:t>
      </w:r>
      <w:r w:rsidR="00445D81">
        <w:rPr>
          <w:rFonts w:ascii="Times New Roman" w:hAnsi="Times New Roman"/>
          <w:b w:val="0"/>
          <w:i w:val="0"/>
          <w:sz w:val="22"/>
          <w:szCs w:val="22"/>
        </w:rPr>
        <w:lastRenderedPageBreak/>
        <w:t>density</w:t>
      </w:r>
      <w:r w:rsidR="00445D81" w:rsidRPr="00445D81">
        <w:rPr>
          <w:rFonts w:ascii="Times New Roman" w:hAnsi="Times New Roman"/>
          <w:b w:val="0"/>
          <w:i w:val="0"/>
          <w:sz w:val="22"/>
          <w:szCs w:val="22"/>
        </w:rPr>
        <w:t xml:space="preserve"> of network connections among the</w:t>
      </w:r>
      <w:r>
        <w:rPr>
          <w:rFonts w:ascii="Times New Roman" w:hAnsi="Times New Roman"/>
          <w:b w:val="0"/>
          <w:i w:val="0"/>
          <w:sz w:val="22"/>
          <w:szCs w:val="22"/>
        </w:rPr>
        <w:t>se</w:t>
      </w:r>
      <w:r w:rsidR="00445D81" w:rsidRPr="00445D81">
        <w:rPr>
          <w:rFonts w:ascii="Times New Roman" w:hAnsi="Times New Roman"/>
          <w:b w:val="0"/>
          <w:i w:val="0"/>
          <w:sz w:val="22"/>
          <w:szCs w:val="22"/>
        </w:rPr>
        <w:t xml:space="preserve"> banks in terms of bilateral interrelationships and </w:t>
      </w:r>
      <w:r w:rsidR="00445D81">
        <w:rPr>
          <w:rFonts w:ascii="Times New Roman" w:hAnsi="Times New Roman"/>
          <w:b w:val="0"/>
          <w:i w:val="0"/>
          <w:sz w:val="22"/>
          <w:szCs w:val="22"/>
        </w:rPr>
        <w:t xml:space="preserve">the </w:t>
      </w:r>
      <w:r w:rsidR="00445D81" w:rsidRPr="00445D81">
        <w:rPr>
          <w:rFonts w:ascii="Times New Roman" w:hAnsi="Times New Roman"/>
          <w:b w:val="0"/>
          <w:i w:val="0"/>
          <w:sz w:val="22"/>
          <w:szCs w:val="22"/>
        </w:rPr>
        <w:t>triangular clustering</w:t>
      </w:r>
      <w:r w:rsidR="00BF111D">
        <w:rPr>
          <w:rStyle w:val="Emphasis"/>
          <w:rFonts w:ascii="Times New Roman" w:hAnsi="Times New Roman"/>
          <w:b w:val="0"/>
          <w:sz w:val="22"/>
          <w:szCs w:val="22"/>
        </w:rPr>
        <w:t xml:space="preserve"> </w:t>
      </w:r>
      <w:r w:rsidR="00445D81">
        <w:rPr>
          <w:rStyle w:val="Emphasis"/>
          <w:rFonts w:ascii="Times New Roman" w:hAnsi="Times New Roman"/>
          <w:b w:val="0"/>
          <w:sz w:val="22"/>
          <w:szCs w:val="22"/>
        </w:rPr>
        <w:t>among the</w:t>
      </w:r>
      <w:r>
        <w:rPr>
          <w:rStyle w:val="Emphasis"/>
          <w:rFonts w:ascii="Times New Roman" w:hAnsi="Times New Roman"/>
          <w:b w:val="0"/>
          <w:sz w:val="22"/>
          <w:szCs w:val="22"/>
        </w:rPr>
        <w:t>m</w:t>
      </w:r>
      <w:r w:rsidR="00445D81">
        <w:rPr>
          <w:rStyle w:val="Emphasis"/>
          <w:rFonts w:ascii="Times New Roman" w:hAnsi="Times New Roman"/>
          <w:b w:val="0"/>
          <w:sz w:val="22"/>
          <w:szCs w:val="22"/>
        </w:rPr>
        <w:t xml:space="preserve"> highlight</w:t>
      </w:r>
      <w:r>
        <w:rPr>
          <w:rStyle w:val="Emphasis"/>
          <w:rFonts w:ascii="Times New Roman" w:hAnsi="Times New Roman"/>
          <w:b w:val="0"/>
          <w:sz w:val="22"/>
          <w:szCs w:val="22"/>
        </w:rPr>
        <w:t>s</w:t>
      </w:r>
      <w:r w:rsidR="00445D81">
        <w:rPr>
          <w:rStyle w:val="Emphasis"/>
          <w:rFonts w:ascii="Times New Roman" w:hAnsi="Times New Roman"/>
          <w:b w:val="0"/>
          <w:sz w:val="22"/>
          <w:szCs w:val="22"/>
        </w:rPr>
        <w:t xml:space="preserve"> a tiered structure. This can be seen in Figure</w:t>
      </w:r>
      <w:r w:rsidR="009B4A0B">
        <w:rPr>
          <w:rStyle w:val="Emphasis"/>
          <w:rFonts w:ascii="Times New Roman" w:hAnsi="Times New Roman"/>
          <w:b w:val="0"/>
          <w:sz w:val="22"/>
          <w:szCs w:val="22"/>
        </w:rPr>
        <w:t xml:space="preserve"> 12.</w:t>
      </w:r>
      <w:r w:rsidR="00445D81">
        <w:rPr>
          <w:rStyle w:val="Emphasis"/>
          <w:rFonts w:ascii="Times New Roman" w:hAnsi="Times New Roman"/>
          <w:b w:val="0"/>
          <w:sz w:val="22"/>
          <w:szCs w:val="22"/>
        </w:rPr>
        <w:t xml:space="preserve"> </w:t>
      </w:r>
      <w:r w:rsidR="00445D81">
        <w:rPr>
          <w:rStyle w:val="FootnoteReference"/>
          <w:rFonts w:ascii="Times New Roman" w:hAnsi="Times New Roman"/>
          <w:b w:val="0"/>
          <w:i w:val="0"/>
          <w:iCs w:val="0"/>
          <w:sz w:val="22"/>
          <w:szCs w:val="22"/>
        </w:rPr>
        <w:footnoteReference w:id="26"/>
      </w:r>
      <w:r w:rsidR="00BF111D">
        <w:rPr>
          <w:rStyle w:val="Emphasis"/>
          <w:rFonts w:ascii="Times New Roman" w:hAnsi="Times New Roman"/>
          <w:b w:val="0"/>
          <w:sz w:val="22"/>
          <w:szCs w:val="22"/>
        </w:rPr>
        <w:t xml:space="preserve">  </w:t>
      </w:r>
      <w:r w:rsidR="00445D81" w:rsidRPr="00445D81">
        <w:rPr>
          <w:rFonts w:ascii="Times New Roman" w:hAnsi="Times New Roman"/>
          <w:b w:val="0"/>
          <w:i w:val="0"/>
          <w:sz w:val="22"/>
          <w:szCs w:val="22"/>
        </w:rPr>
        <w:t>The highly asymmetric nature of the empirical CDS network is manifested in the large kurtosis or fat tails in degree distribution which is characterized by a few (two banks in this case) which have a relatively large number of in degrees (up to 1</w:t>
      </w:r>
      <w:r w:rsidR="00366C43">
        <w:rPr>
          <w:rFonts w:ascii="Times New Roman" w:hAnsi="Times New Roman"/>
          <w:b w:val="0"/>
          <w:i w:val="0"/>
          <w:sz w:val="22"/>
          <w:szCs w:val="22"/>
        </w:rPr>
        <w:t>7</w:t>
      </w:r>
      <w:r w:rsidR="00445D81" w:rsidRPr="00445D81">
        <w:rPr>
          <w:rFonts w:ascii="Times New Roman" w:hAnsi="Times New Roman"/>
          <w:b w:val="0"/>
          <w:i w:val="0"/>
          <w:sz w:val="22"/>
          <w:szCs w:val="22"/>
        </w:rPr>
        <w:t xml:space="preserve">) while many have only a few (as </w:t>
      </w:r>
      <w:r w:rsidR="00366C43">
        <w:rPr>
          <w:rFonts w:ascii="Times New Roman" w:hAnsi="Times New Roman"/>
          <w:b w:val="0"/>
          <w:i w:val="0"/>
          <w:sz w:val="22"/>
          <w:szCs w:val="22"/>
        </w:rPr>
        <w:t>few</w:t>
      </w:r>
      <w:r w:rsidR="00445D81" w:rsidRPr="00445D81">
        <w:rPr>
          <w:rFonts w:ascii="Times New Roman" w:hAnsi="Times New Roman"/>
          <w:b w:val="0"/>
          <w:i w:val="0"/>
          <w:sz w:val="22"/>
          <w:szCs w:val="22"/>
        </w:rPr>
        <w:t xml:space="preserve"> as 1).  In Figure </w:t>
      </w:r>
      <w:r w:rsidR="00FB3EA1">
        <w:rPr>
          <w:rFonts w:ascii="Times New Roman" w:hAnsi="Times New Roman"/>
          <w:b w:val="0"/>
          <w:i w:val="0"/>
          <w:sz w:val="22"/>
          <w:szCs w:val="22"/>
        </w:rPr>
        <w:t>12</w:t>
      </w:r>
      <w:r w:rsidR="00445D81" w:rsidRPr="00445D81">
        <w:rPr>
          <w:rFonts w:ascii="Times New Roman" w:hAnsi="Times New Roman"/>
          <w:b w:val="0"/>
          <w:i w:val="0"/>
          <w:sz w:val="22"/>
          <w:szCs w:val="22"/>
        </w:rPr>
        <w:t>, we have colour coded the net sellers (pink), the net buyers (light blue) and sole buyers (dark blue).</w:t>
      </w:r>
      <w:r w:rsidR="00BF111D">
        <w:rPr>
          <w:rStyle w:val="Emphasis"/>
          <w:rFonts w:ascii="Times New Roman" w:hAnsi="Times New Roman"/>
          <w:b w:val="0"/>
          <w:sz w:val="22"/>
          <w:szCs w:val="22"/>
        </w:rPr>
        <w:t xml:space="preserve"> </w:t>
      </w:r>
    </w:p>
    <w:p w:rsidR="003F6A69" w:rsidRPr="003F6A69" w:rsidRDefault="003F6A69" w:rsidP="003F6A69">
      <w:pPr>
        <w:widowControl w:val="0"/>
        <w:spacing w:line="360" w:lineRule="auto"/>
        <w:jc w:val="both"/>
        <w:rPr>
          <w:rFonts w:ascii="Times New Roman" w:hAnsi="Times New Roman"/>
        </w:rPr>
      </w:pPr>
      <w:r w:rsidRPr="003F6A69">
        <w:rPr>
          <w:rStyle w:val="Emphasis"/>
          <w:rFonts w:ascii="Times New Roman" w:hAnsi="Times New Roman"/>
          <w:i w:val="0"/>
        </w:rPr>
        <w:t xml:space="preserve">These networks manifest very different propagation of systemic risks from counterparty default than do random graphs which have been mistakenly been used for financial network modelling (see </w:t>
      </w:r>
      <w:proofErr w:type="spellStart"/>
      <w:r w:rsidRPr="003F6A69">
        <w:rPr>
          <w:rStyle w:val="Emphasis"/>
          <w:rFonts w:ascii="Times New Roman" w:hAnsi="Times New Roman"/>
          <w:i w:val="0"/>
        </w:rPr>
        <w:t>Nier</w:t>
      </w:r>
      <w:proofErr w:type="spellEnd"/>
      <w:r w:rsidRPr="003F6A69">
        <w:rPr>
          <w:rStyle w:val="Emphasis"/>
          <w:rFonts w:ascii="Times New Roman" w:hAnsi="Times New Roman"/>
          <w:i w:val="0"/>
        </w:rPr>
        <w:t xml:space="preserve"> et. </w:t>
      </w:r>
      <w:proofErr w:type="gramStart"/>
      <w:r w:rsidRPr="003F6A69">
        <w:rPr>
          <w:rStyle w:val="Emphasis"/>
          <w:rFonts w:ascii="Times New Roman" w:hAnsi="Times New Roman"/>
          <w:i w:val="0"/>
        </w:rPr>
        <w:t xml:space="preserve">al </w:t>
      </w:r>
      <w:r w:rsidR="00366C43">
        <w:rPr>
          <w:rStyle w:val="Emphasis"/>
          <w:rFonts w:ascii="Times New Roman" w:hAnsi="Times New Roman"/>
          <w:i w:val="0"/>
        </w:rPr>
        <w:t>,</w:t>
      </w:r>
      <w:proofErr w:type="gramEnd"/>
      <w:r w:rsidR="00366C43">
        <w:rPr>
          <w:rStyle w:val="Emphasis"/>
          <w:rFonts w:ascii="Times New Roman" w:hAnsi="Times New Roman"/>
          <w:i w:val="0"/>
        </w:rPr>
        <w:t xml:space="preserve"> 2007</w:t>
      </w:r>
      <w:r w:rsidRPr="003F6A69">
        <w:rPr>
          <w:rStyle w:val="Emphasis"/>
          <w:rFonts w:ascii="Times New Roman" w:hAnsi="Times New Roman"/>
          <w:i w:val="0"/>
        </w:rPr>
        <w:t xml:space="preserve"> for an example of simulations using </w:t>
      </w:r>
      <w:r w:rsidR="00B27EA8">
        <w:rPr>
          <w:rStyle w:val="Emphasis"/>
          <w:rFonts w:ascii="Times New Roman" w:hAnsi="Times New Roman"/>
          <w:i w:val="0"/>
        </w:rPr>
        <w:t xml:space="preserve">random networks </w:t>
      </w:r>
      <w:r w:rsidRPr="003F6A69">
        <w:rPr>
          <w:rStyle w:val="Emphasis"/>
          <w:rFonts w:ascii="Times New Roman" w:hAnsi="Times New Roman"/>
          <w:i w:val="0"/>
        </w:rPr>
        <w:t>and</w:t>
      </w:r>
      <w:r w:rsidR="00366C43">
        <w:rPr>
          <w:rStyle w:val="Emphasis"/>
          <w:rFonts w:ascii="Times New Roman" w:hAnsi="Times New Roman"/>
          <w:i w:val="0"/>
        </w:rPr>
        <w:t xml:space="preserve"> see,</w:t>
      </w:r>
      <w:r w:rsidRPr="003F6A69">
        <w:rPr>
          <w:rStyle w:val="Emphasis"/>
          <w:rFonts w:ascii="Times New Roman" w:hAnsi="Times New Roman"/>
          <w:i w:val="0"/>
        </w:rPr>
        <w:t xml:space="preserve"> Craig and von Peter</w:t>
      </w:r>
      <w:r w:rsidR="00366C43">
        <w:rPr>
          <w:rStyle w:val="Emphasis"/>
          <w:rFonts w:ascii="Times New Roman" w:hAnsi="Times New Roman"/>
          <w:i w:val="0"/>
        </w:rPr>
        <w:t>,</w:t>
      </w:r>
      <w:r w:rsidRPr="003F6A69">
        <w:rPr>
          <w:rStyle w:val="Emphasis"/>
          <w:rFonts w:ascii="Times New Roman" w:hAnsi="Times New Roman"/>
          <w:i w:val="0"/>
        </w:rPr>
        <w:t xml:space="preserve"> 2010</w:t>
      </w:r>
      <w:r w:rsidR="00366C43">
        <w:rPr>
          <w:rStyle w:val="Emphasis"/>
          <w:rFonts w:ascii="Times New Roman" w:hAnsi="Times New Roman"/>
          <w:i w:val="0"/>
        </w:rPr>
        <w:t>,</w:t>
      </w:r>
      <w:r w:rsidRPr="003F6A69">
        <w:rPr>
          <w:rStyle w:val="Emphasis"/>
          <w:rFonts w:ascii="Times New Roman" w:hAnsi="Times New Roman"/>
          <w:i w:val="0"/>
        </w:rPr>
        <w:t xml:space="preserve">  for an empirical study of the presence of tiered financial networks with market share concentration).  </w:t>
      </w:r>
    </w:p>
    <w:p w:rsidR="005F2F7C" w:rsidRPr="00FB3EA1" w:rsidRDefault="005F2F7C" w:rsidP="00A96C90">
      <w:pPr>
        <w:keepNext/>
        <w:keepLines/>
        <w:spacing w:line="240" w:lineRule="auto"/>
        <w:jc w:val="both"/>
        <w:rPr>
          <w:rFonts w:ascii="Times New Roman" w:hAnsi="Times New Roman"/>
          <w:b/>
        </w:rPr>
      </w:pPr>
      <w:r w:rsidRPr="009B4A0B">
        <w:rPr>
          <w:rFonts w:ascii="Times New Roman" w:hAnsi="Times New Roman"/>
          <w:b/>
        </w:rPr>
        <w:t xml:space="preserve">Figure </w:t>
      </w:r>
      <w:r w:rsidR="00FB3EA1" w:rsidRPr="009B4A0B">
        <w:rPr>
          <w:rFonts w:ascii="Times New Roman" w:hAnsi="Times New Roman"/>
          <w:b/>
        </w:rPr>
        <w:t>12</w:t>
      </w:r>
      <w:r w:rsidRPr="00FB3EA1">
        <w:rPr>
          <w:rFonts w:ascii="Times New Roman" w:hAnsi="Times New Roman"/>
          <w:b/>
          <w:i/>
        </w:rPr>
        <w:t xml:space="preserve"> </w:t>
      </w:r>
      <w:r w:rsidRPr="00FB3EA1">
        <w:rPr>
          <w:rFonts w:ascii="Times New Roman" w:hAnsi="Times New Roman"/>
          <w:b/>
        </w:rPr>
        <w:t xml:space="preserve">Empirically Constructed CDS Network for US Banks and </w:t>
      </w:r>
      <w:r w:rsidR="001811DA">
        <w:rPr>
          <w:rFonts w:ascii="Times New Roman" w:hAnsi="Times New Roman"/>
          <w:b/>
        </w:rPr>
        <w:t xml:space="preserve">US </w:t>
      </w:r>
      <w:r w:rsidR="00FB3EA1">
        <w:rPr>
          <w:rFonts w:ascii="Times New Roman" w:hAnsi="Times New Roman"/>
          <w:b/>
        </w:rPr>
        <w:t>Non-</w:t>
      </w:r>
      <w:proofErr w:type="gramStart"/>
      <w:r w:rsidR="00FB3EA1">
        <w:rPr>
          <w:rFonts w:ascii="Times New Roman" w:hAnsi="Times New Roman"/>
          <w:b/>
        </w:rPr>
        <w:t>Banks</w:t>
      </w:r>
      <w:r w:rsidRPr="00FB3EA1">
        <w:rPr>
          <w:rFonts w:ascii="Times New Roman" w:hAnsi="Times New Roman"/>
          <w:b/>
        </w:rPr>
        <w:t>(</w:t>
      </w:r>
      <w:proofErr w:type="gramEnd"/>
      <w:r w:rsidRPr="00FB3EA1">
        <w:rPr>
          <w:rFonts w:ascii="Times New Roman" w:hAnsi="Times New Roman"/>
          <w:b/>
        </w:rPr>
        <w:t>Triangle): Empirical Small World initial network (FDIC Call Report Data</w:t>
      </w:r>
      <w:r w:rsidRPr="00FB3EA1">
        <w:rPr>
          <w:rFonts w:ascii="Times New Roman" w:hAnsi="Times New Roman"/>
          <w:b/>
          <w:i/>
        </w:rPr>
        <w:t xml:space="preserve"> </w:t>
      </w:r>
      <w:r w:rsidRPr="00FB3EA1">
        <w:rPr>
          <w:rFonts w:ascii="Times New Roman" w:hAnsi="Times New Roman"/>
          <w:b/>
        </w:rPr>
        <w:t xml:space="preserve">of 2008 Q4) </w:t>
      </w:r>
    </w:p>
    <w:p w:rsidR="005F2F7C" w:rsidRPr="002B38D2" w:rsidRDefault="005F2F7C" w:rsidP="00A96C90">
      <w:pPr>
        <w:pStyle w:val="FSRmaintext"/>
        <w:keepNext/>
        <w:keepLines/>
        <w:spacing w:line="240" w:lineRule="auto"/>
        <w:rPr>
          <w:b/>
          <w:bCs/>
          <w:sz w:val="20"/>
          <w:szCs w:val="20"/>
          <w:lang w:val="en-US"/>
        </w:rPr>
      </w:pPr>
      <w:r w:rsidRPr="002B38D2">
        <w:rPr>
          <w:b/>
          <w:bCs/>
          <w:noProof/>
          <w:sz w:val="20"/>
          <w:szCs w:val="20"/>
        </w:rPr>
        <w:drawing>
          <wp:inline distT="0" distB="0" distL="0" distR="0">
            <wp:extent cx="5829300" cy="3219450"/>
            <wp:effectExtent l="19050" t="0" r="0" b="0"/>
            <wp:docPr id="7" name="Picture 1"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aph"/>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9300" cy="3219450"/>
                    </a:xfrm>
                    <a:prstGeom prst="rect">
                      <a:avLst/>
                    </a:prstGeom>
                    <a:noFill/>
                    <a:ln>
                      <a:noFill/>
                    </a:ln>
                  </pic:spPr>
                </pic:pic>
              </a:graphicData>
            </a:graphic>
          </wp:inline>
        </w:drawing>
      </w:r>
    </w:p>
    <w:p w:rsidR="003532C6" w:rsidRPr="002B38D2" w:rsidRDefault="005F2F7C" w:rsidP="00FB5757">
      <w:pPr>
        <w:pStyle w:val="FSRmaintext"/>
        <w:widowControl w:val="0"/>
        <w:spacing w:line="360" w:lineRule="auto"/>
        <w:jc w:val="left"/>
        <w:rPr>
          <w:sz w:val="20"/>
          <w:szCs w:val="20"/>
        </w:rPr>
      </w:pPr>
      <w:r w:rsidRPr="00366C43">
        <w:rPr>
          <w:b/>
          <w:sz w:val="20"/>
          <w:szCs w:val="20"/>
        </w:rPr>
        <w:t>Source:</w:t>
      </w:r>
      <w:r w:rsidRPr="002B38D2">
        <w:rPr>
          <w:sz w:val="20"/>
          <w:szCs w:val="20"/>
        </w:rPr>
        <w:t xml:space="preserve"> Markose </w:t>
      </w:r>
      <w:proofErr w:type="gramStart"/>
      <w:r w:rsidRPr="002B38D2">
        <w:rPr>
          <w:i/>
          <w:sz w:val="20"/>
          <w:szCs w:val="20"/>
        </w:rPr>
        <w:t>et</w:t>
      </w:r>
      <w:proofErr w:type="gramEnd"/>
      <w:r w:rsidRPr="002B38D2">
        <w:rPr>
          <w:i/>
          <w:sz w:val="20"/>
          <w:szCs w:val="20"/>
        </w:rPr>
        <w:t xml:space="preserve">. al. </w:t>
      </w:r>
      <w:r w:rsidRPr="002B38D2">
        <w:rPr>
          <w:sz w:val="20"/>
          <w:szCs w:val="20"/>
        </w:rPr>
        <w:t>(2010)</w:t>
      </w:r>
      <w:r w:rsidR="00132017">
        <w:rPr>
          <w:sz w:val="20"/>
          <w:szCs w:val="20"/>
        </w:rPr>
        <w:br/>
      </w:r>
      <w:r w:rsidR="00D0206B">
        <w:rPr>
          <w:rStyle w:val="Emphasis"/>
          <w:i w:val="0"/>
          <w:szCs w:val="22"/>
        </w:rPr>
        <w:t xml:space="preserve"> </w:t>
      </w:r>
      <w:r w:rsidR="00696890" w:rsidRPr="00132017">
        <w:rPr>
          <w:rStyle w:val="Emphasis"/>
          <w:i w:val="0"/>
          <w:szCs w:val="22"/>
        </w:rPr>
        <w:t>Using the Tier 1 capital reported in by these banks in the FDIC call reports, we find that default of any of the top 5 banks based on their bilaterally netted fair value CDS obligations</w:t>
      </w:r>
      <w:r w:rsidR="00DE0EE5">
        <w:rPr>
          <w:rStyle w:val="Emphasis"/>
          <w:i w:val="0"/>
          <w:szCs w:val="22"/>
        </w:rPr>
        <w:t xml:space="preserve"> </w:t>
      </w:r>
      <w:r w:rsidR="00696890" w:rsidRPr="00132017">
        <w:rPr>
          <w:rStyle w:val="Emphasis"/>
          <w:i w:val="0"/>
          <w:szCs w:val="22"/>
        </w:rPr>
        <w:t>will result typically in</w:t>
      </w:r>
      <w:r w:rsidR="003532C6" w:rsidRPr="00132017">
        <w:rPr>
          <w:rStyle w:val="Emphasis"/>
          <w:i w:val="0"/>
          <w:szCs w:val="22"/>
        </w:rPr>
        <w:t xml:space="preserve"> the</w:t>
      </w:r>
      <w:r w:rsidR="00696890" w:rsidRPr="00132017">
        <w:rPr>
          <w:rStyle w:val="Emphasis"/>
          <w:i w:val="0"/>
          <w:szCs w:val="22"/>
        </w:rPr>
        <w:t xml:space="preserve"> failure </w:t>
      </w:r>
      <w:r w:rsidR="00767378" w:rsidRPr="00132017">
        <w:rPr>
          <w:rStyle w:val="Emphasis"/>
          <w:i w:val="0"/>
          <w:szCs w:val="22"/>
        </w:rPr>
        <w:t>of those</w:t>
      </w:r>
      <w:r w:rsidR="00366C43" w:rsidRPr="00132017">
        <w:rPr>
          <w:rStyle w:val="Emphasis"/>
          <w:i w:val="0"/>
          <w:szCs w:val="22"/>
        </w:rPr>
        <w:t xml:space="preserve"> banks that are highly interconnected amongst </w:t>
      </w:r>
      <w:proofErr w:type="gramStart"/>
      <w:r w:rsidR="00366C43" w:rsidRPr="00132017">
        <w:rPr>
          <w:rStyle w:val="Emphasis"/>
          <w:i w:val="0"/>
          <w:szCs w:val="22"/>
        </w:rPr>
        <w:t>themselves</w:t>
      </w:r>
      <w:proofErr w:type="gramEnd"/>
      <w:r w:rsidR="00366C43" w:rsidRPr="00132017">
        <w:rPr>
          <w:rStyle w:val="Emphasis"/>
          <w:i w:val="0"/>
          <w:szCs w:val="22"/>
        </w:rPr>
        <w:t xml:space="preserve">.  </w:t>
      </w:r>
      <w:r w:rsidR="00696890" w:rsidRPr="00132017">
        <w:rPr>
          <w:szCs w:val="22"/>
        </w:rPr>
        <w:t>The contagion stops at this point</w:t>
      </w:r>
      <w:r w:rsidR="00362D4B" w:rsidRPr="00132017">
        <w:rPr>
          <w:szCs w:val="22"/>
        </w:rPr>
        <w:t xml:space="preserve"> </w:t>
      </w:r>
      <w:r w:rsidR="00B94CB1" w:rsidRPr="00132017">
        <w:rPr>
          <w:szCs w:val="22"/>
        </w:rPr>
        <w:t xml:space="preserve">with it </w:t>
      </w:r>
      <w:r w:rsidR="00221BBC" w:rsidRPr="00132017">
        <w:rPr>
          <w:szCs w:val="22"/>
        </w:rPr>
        <w:t>being</w:t>
      </w:r>
      <w:r w:rsidR="00366C43" w:rsidRPr="00132017">
        <w:rPr>
          <w:szCs w:val="22"/>
        </w:rPr>
        <w:t xml:space="preserve"> confined to the top hierarchy (as shown in Figure 13</w:t>
      </w:r>
      <w:r w:rsidR="00767378" w:rsidRPr="00132017">
        <w:rPr>
          <w:szCs w:val="22"/>
        </w:rPr>
        <w:t>)</w:t>
      </w:r>
      <w:r w:rsidR="00767378" w:rsidRPr="00132017">
        <w:rPr>
          <w:rStyle w:val="Emphasis"/>
          <w:i w:val="0"/>
          <w:szCs w:val="22"/>
        </w:rPr>
        <w:t xml:space="preserve"> but</w:t>
      </w:r>
      <w:r w:rsidR="00696890" w:rsidRPr="00132017">
        <w:rPr>
          <w:szCs w:val="22"/>
        </w:rPr>
        <w:t xml:space="preserve"> in the spirit of being too interconnected to fail, </w:t>
      </w:r>
      <w:r w:rsidR="003532C6" w:rsidRPr="00132017">
        <w:rPr>
          <w:szCs w:val="22"/>
        </w:rPr>
        <w:t xml:space="preserve">the </w:t>
      </w:r>
      <w:r w:rsidR="00696890" w:rsidRPr="00132017">
        <w:rPr>
          <w:szCs w:val="22"/>
        </w:rPr>
        <w:t>top banks</w:t>
      </w:r>
      <w:r w:rsidR="00132017">
        <w:rPr>
          <w:szCs w:val="22"/>
        </w:rPr>
        <w:t xml:space="preserve"> (black nodes in Figure 13)</w:t>
      </w:r>
      <w:r w:rsidR="00696890" w:rsidRPr="00132017">
        <w:rPr>
          <w:szCs w:val="22"/>
        </w:rPr>
        <w:t xml:space="preserve"> are brought down</w:t>
      </w:r>
      <w:r w:rsidR="00221BBC" w:rsidRPr="00132017">
        <w:rPr>
          <w:szCs w:val="22"/>
        </w:rPr>
        <w:t xml:space="preserve"> when any other </w:t>
      </w:r>
      <w:r w:rsidR="00BB4FC5">
        <w:rPr>
          <w:szCs w:val="22"/>
        </w:rPr>
        <w:t>member</w:t>
      </w:r>
      <w:r w:rsidR="00132017" w:rsidRPr="00132017">
        <w:rPr>
          <w:b/>
          <w:szCs w:val="22"/>
        </w:rPr>
        <w:t xml:space="preserve"> </w:t>
      </w:r>
      <w:r w:rsidR="00132017" w:rsidRPr="00132017">
        <w:rPr>
          <w:szCs w:val="22"/>
        </w:rPr>
        <w:t>of this group</w:t>
      </w:r>
      <w:r w:rsidR="00132017" w:rsidRPr="00132017">
        <w:rPr>
          <w:b/>
          <w:szCs w:val="22"/>
        </w:rPr>
        <w:t xml:space="preserve"> </w:t>
      </w:r>
      <w:r w:rsidR="00221BBC" w:rsidRPr="00132017">
        <w:rPr>
          <w:szCs w:val="22"/>
        </w:rPr>
        <w:t>collapses</w:t>
      </w:r>
      <w:r w:rsidR="00366C43" w:rsidRPr="00132017">
        <w:rPr>
          <w:szCs w:val="22"/>
        </w:rPr>
        <w:t xml:space="preserve">. </w:t>
      </w:r>
      <w:r w:rsidR="00265408">
        <w:rPr>
          <w:szCs w:val="22"/>
        </w:rPr>
        <w:t xml:space="preserve"> Clearly</w:t>
      </w:r>
      <w:r w:rsidR="00B94CB1" w:rsidRPr="00132017">
        <w:rPr>
          <w:szCs w:val="22"/>
        </w:rPr>
        <w:t xml:space="preserve">, the implicit socialized losses </w:t>
      </w:r>
      <w:r w:rsidR="002D7F2C">
        <w:rPr>
          <w:szCs w:val="22"/>
        </w:rPr>
        <w:t xml:space="preserve">of capital </w:t>
      </w:r>
      <w:r w:rsidR="00265408">
        <w:rPr>
          <w:szCs w:val="22"/>
        </w:rPr>
        <w:t xml:space="preserve">from bank failure </w:t>
      </w:r>
      <w:r w:rsidR="00D0206B">
        <w:rPr>
          <w:szCs w:val="22"/>
        </w:rPr>
        <w:t>with</w:t>
      </w:r>
      <w:r w:rsidR="002D7F2C">
        <w:rPr>
          <w:szCs w:val="22"/>
        </w:rPr>
        <w:t xml:space="preserve"> such a topological concentration of counterparties with high </w:t>
      </w:r>
      <w:r w:rsidR="00C472D7">
        <w:rPr>
          <w:szCs w:val="22"/>
        </w:rPr>
        <w:t xml:space="preserve">CDS </w:t>
      </w:r>
      <w:r w:rsidR="002D7F2C">
        <w:rPr>
          <w:szCs w:val="22"/>
        </w:rPr>
        <w:t xml:space="preserve">market share </w:t>
      </w:r>
      <w:r w:rsidR="00B94CB1" w:rsidRPr="00132017">
        <w:rPr>
          <w:szCs w:val="22"/>
        </w:rPr>
        <w:t xml:space="preserve">is very </w:t>
      </w:r>
      <w:r w:rsidR="00B94CB1" w:rsidRPr="00132017">
        <w:rPr>
          <w:szCs w:val="22"/>
        </w:rPr>
        <w:lastRenderedPageBreak/>
        <w:t xml:space="preserve">large as </w:t>
      </w:r>
      <w:r w:rsidR="002D7F2C">
        <w:rPr>
          <w:szCs w:val="22"/>
        </w:rPr>
        <w:t xml:space="preserve">top banks also account for some 43% of </w:t>
      </w:r>
      <w:r w:rsidR="006C0084">
        <w:rPr>
          <w:szCs w:val="22"/>
        </w:rPr>
        <w:t xml:space="preserve">Tier 1 </w:t>
      </w:r>
      <w:r w:rsidR="002D7F2C">
        <w:rPr>
          <w:szCs w:val="22"/>
        </w:rPr>
        <w:t>capital</w:t>
      </w:r>
      <w:r w:rsidR="006C0084">
        <w:rPr>
          <w:szCs w:val="22"/>
        </w:rPr>
        <w:t xml:space="preserve"> ($430 </w:t>
      </w:r>
      <w:proofErr w:type="spellStart"/>
      <w:r w:rsidR="00FB5757">
        <w:rPr>
          <w:szCs w:val="22"/>
        </w:rPr>
        <w:t>b</w:t>
      </w:r>
      <w:r w:rsidR="006C0084">
        <w:rPr>
          <w:szCs w:val="22"/>
        </w:rPr>
        <w:t>n</w:t>
      </w:r>
      <w:proofErr w:type="spellEnd"/>
      <w:r w:rsidR="006C0084">
        <w:rPr>
          <w:szCs w:val="22"/>
        </w:rPr>
        <w:t xml:space="preserve">) </w:t>
      </w:r>
      <w:r w:rsidR="002D7F2C">
        <w:rPr>
          <w:szCs w:val="22"/>
        </w:rPr>
        <w:t xml:space="preserve">of the 26 banks in the sample </w:t>
      </w:r>
      <w:r w:rsidR="00132017">
        <w:rPr>
          <w:szCs w:val="22"/>
        </w:rPr>
        <w:t xml:space="preserve">. </w:t>
      </w:r>
      <w:r w:rsidR="00B94CB1" w:rsidRPr="00132017">
        <w:rPr>
          <w:b/>
        </w:rPr>
        <w:br/>
      </w:r>
      <w:r w:rsidR="003532C6" w:rsidRPr="001811DA">
        <w:rPr>
          <w:b/>
        </w:rPr>
        <w:t xml:space="preserve">Figure </w:t>
      </w:r>
      <w:proofErr w:type="gramStart"/>
      <w:r w:rsidR="001811DA" w:rsidRPr="001811DA">
        <w:rPr>
          <w:b/>
        </w:rPr>
        <w:t>13</w:t>
      </w:r>
      <w:r w:rsidR="003532C6" w:rsidRPr="001811DA">
        <w:t xml:space="preserve"> </w:t>
      </w:r>
      <w:r w:rsidR="003532C6" w:rsidRPr="001811DA">
        <w:rPr>
          <w:b/>
        </w:rPr>
        <w:t>:</w:t>
      </w:r>
      <w:proofErr w:type="gramEnd"/>
      <w:r w:rsidR="003532C6" w:rsidRPr="001811DA">
        <w:rPr>
          <w:b/>
        </w:rPr>
        <w:t xml:space="preserve"> Instability propagation in Clustered CDS Network</w:t>
      </w:r>
      <w:r w:rsidR="00265408">
        <w:rPr>
          <w:b/>
        </w:rPr>
        <w:t xml:space="preserve"> </w:t>
      </w:r>
      <w:r w:rsidR="003532C6" w:rsidRPr="003532C6">
        <w:rPr>
          <w:noProof/>
          <w:sz w:val="20"/>
          <w:szCs w:val="20"/>
        </w:rPr>
        <w:drawing>
          <wp:inline distT="0" distB="0" distL="0" distR="0">
            <wp:extent cx="4712038" cy="2076450"/>
            <wp:effectExtent l="19050" t="0" r="0" b="0"/>
            <wp:docPr id="5" name="Picture 1" descr="cluster_contagion"/>
            <wp:cNvGraphicFramePr/>
            <a:graphic xmlns:a="http://schemas.openxmlformats.org/drawingml/2006/main">
              <a:graphicData uri="http://schemas.openxmlformats.org/drawingml/2006/picture">
                <pic:pic xmlns:pic="http://schemas.openxmlformats.org/drawingml/2006/picture">
                  <pic:nvPicPr>
                    <pic:cNvPr id="2052" name="Picture 4" descr="cluster_contagion"/>
                    <pic:cNvPicPr>
                      <a:picLocks noChangeAspect="1" noChangeArrowheads="1"/>
                    </pic:cNvPicPr>
                  </pic:nvPicPr>
                  <pic:blipFill>
                    <a:blip r:embed="rId20" cstate="print"/>
                    <a:srcRect/>
                    <a:stretch>
                      <a:fillRect/>
                    </a:stretch>
                  </pic:blipFill>
                  <pic:spPr bwMode="auto">
                    <a:xfrm>
                      <a:off x="0" y="0"/>
                      <a:ext cx="4712038" cy="2076450"/>
                    </a:xfrm>
                    <a:prstGeom prst="rect">
                      <a:avLst/>
                    </a:prstGeom>
                    <a:noFill/>
                    <a:ln w="9525">
                      <a:noFill/>
                      <a:miter lim="800000"/>
                      <a:headEnd/>
                      <a:tailEnd/>
                    </a:ln>
                  </pic:spPr>
                </pic:pic>
              </a:graphicData>
            </a:graphic>
          </wp:inline>
        </w:drawing>
      </w:r>
    </w:p>
    <w:p w:rsidR="003006A2" w:rsidRDefault="005F2F7C" w:rsidP="005F2F7C">
      <w:pPr>
        <w:rPr>
          <w:rFonts w:ascii="Times New Roman" w:hAnsi="Times New Roman"/>
        </w:rPr>
      </w:pPr>
      <w:r w:rsidRPr="00373114">
        <w:rPr>
          <w:i/>
          <w:sz w:val="20"/>
          <w:szCs w:val="20"/>
        </w:rPr>
        <w:t>NB: Black nodes denote failed banks with successive concentric circles denoting the q-steps of the knock on effects</w:t>
      </w:r>
      <w:r w:rsidR="00FB395B">
        <w:rPr>
          <w:i/>
          <w:sz w:val="20"/>
          <w:szCs w:val="20"/>
        </w:rPr>
        <w:t xml:space="preserve">.  Here q is 1. </w:t>
      </w:r>
      <w:r w:rsidRPr="00373114">
        <w:rPr>
          <w:i/>
          <w:sz w:val="20"/>
          <w:szCs w:val="20"/>
        </w:rPr>
        <w:t xml:space="preserve"> </w:t>
      </w:r>
      <w:r w:rsidRPr="00265408">
        <w:rPr>
          <w:b/>
          <w:sz w:val="20"/>
          <w:szCs w:val="20"/>
        </w:rPr>
        <w:t>Source:</w:t>
      </w:r>
      <w:r w:rsidRPr="00373114">
        <w:rPr>
          <w:sz w:val="20"/>
          <w:szCs w:val="20"/>
        </w:rPr>
        <w:t xml:space="preserve"> Markose </w:t>
      </w:r>
      <w:proofErr w:type="gramStart"/>
      <w:r w:rsidRPr="00373114">
        <w:rPr>
          <w:i/>
          <w:sz w:val="20"/>
          <w:szCs w:val="20"/>
        </w:rPr>
        <w:t>et</w:t>
      </w:r>
      <w:proofErr w:type="gramEnd"/>
      <w:r w:rsidRPr="00373114">
        <w:rPr>
          <w:i/>
          <w:sz w:val="20"/>
          <w:szCs w:val="20"/>
        </w:rPr>
        <w:t xml:space="preserve">. al. </w:t>
      </w:r>
      <w:r w:rsidRPr="00373114">
        <w:rPr>
          <w:sz w:val="20"/>
          <w:szCs w:val="20"/>
        </w:rPr>
        <w:t>(2010)</w:t>
      </w:r>
      <w:r>
        <w:rPr>
          <w:rFonts w:ascii="Times New Roman" w:hAnsi="Times New Roman"/>
        </w:rPr>
        <w:t xml:space="preserve"> </w:t>
      </w:r>
    </w:p>
    <w:p w:rsidR="00731241" w:rsidRPr="00132017" w:rsidRDefault="001811DA" w:rsidP="00994DC2">
      <w:pPr>
        <w:pStyle w:val="Heading2"/>
        <w:numPr>
          <w:ilvl w:val="0"/>
          <w:numId w:val="0"/>
        </w:numPr>
        <w:spacing w:line="360" w:lineRule="auto"/>
        <w:ind w:left="480"/>
        <w:rPr>
          <w:rFonts w:ascii="Times New Roman" w:hAnsi="Times New Roman"/>
          <w:i w:val="0"/>
          <w:sz w:val="22"/>
          <w:szCs w:val="22"/>
        </w:rPr>
      </w:pPr>
      <w:r w:rsidRPr="00132017">
        <w:rPr>
          <w:rFonts w:ascii="Times New Roman" w:hAnsi="Times New Roman"/>
          <w:i w:val="0"/>
          <w:sz w:val="22"/>
          <w:szCs w:val="22"/>
        </w:rPr>
        <w:t>6</w:t>
      </w:r>
      <w:r w:rsidR="00545E56" w:rsidRPr="00132017">
        <w:rPr>
          <w:rFonts w:ascii="Times New Roman" w:hAnsi="Times New Roman"/>
          <w:i w:val="0"/>
          <w:sz w:val="22"/>
          <w:szCs w:val="22"/>
        </w:rPr>
        <w:t xml:space="preserve">. </w:t>
      </w:r>
      <w:r w:rsidR="00731241" w:rsidRPr="00132017">
        <w:rPr>
          <w:rFonts w:ascii="Times New Roman" w:hAnsi="Times New Roman"/>
          <w:i w:val="0"/>
          <w:sz w:val="22"/>
          <w:szCs w:val="22"/>
        </w:rPr>
        <w:t>Conclusion</w:t>
      </w:r>
    </w:p>
    <w:p w:rsidR="007E23E0" w:rsidRDefault="007E23E0" w:rsidP="00B871E5">
      <w:pPr>
        <w:spacing w:line="360" w:lineRule="auto"/>
        <w:rPr>
          <w:rFonts w:ascii="Times New Roman" w:hAnsi="Times New Roman"/>
        </w:rPr>
      </w:pPr>
      <w:r>
        <w:rPr>
          <w:rFonts w:ascii="Times New Roman" w:hAnsi="Times New Roman"/>
        </w:rPr>
        <w:t xml:space="preserve">This paper has provided an exemplar of how publicly available financial firm level FDIC type data bases are to be accessed and ‘fed’ into multi-agent financial network (MAFN) models to help monitor perverse incentives from policy and systemic risk from a topological perspective especially in risk sharing derivatives institutions. </w:t>
      </w:r>
    </w:p>
    <w:p w:rsidR="007E23E0" w:rsidRPr="00410B77" w:rsidRDefault="007E23E0" w:rsidP="007E23E0">
      <w:pPr>
        <w:spacing w:line="360" w:lineRule="auto"/>
        <w:rPr>
          <w:rFonts w:ascii="Times New Roman" w:hAnsi="Times New Roman"/>
          <w:color w:val="000000"/>
          <w:lang w:eastAsia="en-GB"/>
        </w:rPr>
      </w:pPr>
      <w:r>
        <w:rPr>
          <w:rFonts w:ascii="Times New Roman" w:hAnsi="Times New Roman"/>
        </w:rPr>
        <w:t xml:space="preserve">We fully concur with the </w:t>
      </w:r>
      <w:r>
        <w:rPr>
          <w:rFonts w:ascii="Times New Roman" w:hAnsi="Times New Roman"/>
          <w:color w:val="000000"/>
          <w:lang w:eastAsia="en-GB"/>
        </w:rPr>
        <w:t>Blundell-</w:t>
      </w:r>
      <w:proofErr w:type="spellStart"/>
      <w:r>
        <w:rPr>
          <w:rFonts w:ascii="Times New Roman" w:hAnsi="Times New Roman"/>
          <w:color w:val="000000"/>
          <w:lang w:eastAsia="en-GB"/>
        </w:rPr>
        <w:t>Wignall</w:t>
      </w:r>
      <w:proofErr w:type="spellEnd"/>
      <w:r>
        <w:rPr>
          <w:rFonts w:ascii="Times New Roman" w:hAnsi="Times New Roman"/>
          <w:color w:val="000000"/>
          <w:lang w:eastAsia="en-GB"/>
        </w:rPr>
        <w:t xml:space="preserve"> and Atkinson (2008) dictum </w:t>
      </w:r>
      <w:proofErr w:type="gramStart"/>
      <w:r>
        <w:rPr>
          <w:rFonts w:ascii="Times New Roman" w:hAnsi="Times New Roman"/>
          <w:color w:val="000000"/>
          <w:lang w:eastAsia="en-GB"/>
        </w:rPr>
        <w:t>that ”</w:t>
      </w:r>
      <w:proofErr w:type="gramEnd"/>
      <w:r>
        <w:rPr>
          <w:rFonts w:ascii="Times New Roman" w:hAnsi="Times New Roman"/>
          <w:color w:val="000000"/>
          <w:lang w:eastAsia="en-GB"/>
        </w:rPr>
        <w:t xml:space="preserve">understanding causality is a precondition for correct policy making”.   The question is what methodologies can investigate causality especially in the context of the impact of policy </w:t>
      </w:r>
      <w:r w:rsidR="00767378">
        <w:rPr>
          <w:rFonts w:ascii="Times New Roman" w:hAnsi="Times New Roman"/>
          <w:color w:val="000000"/>
          <w:lang w:eastAsia="en-GB"/>
        </w:rPr>
        <w:t xml:space="preserve">incentives? </w:t>
      </w:r>
      <w:r w:rsidR="00897A2B">
        <w:rPr>
          <w:rFonts w:ascii="Times New Roman" w:hAnsi="Times New Roman"/>
          <w:color w:val="000000"/>
          <w:lang w:eastAsia="en-GB"/>
        </w:rPr>
        <w:t>We have argued that i</w:t>
      </w:r>
      <w:r>
        <w:rPr>
          <w:rFonts w:ascii="Times New Roman" w:hAnsi="Times New Roman"/>
          <w:color w:val="000000"/>
          <w:lang w:eastAsia="en-GB"/>
        </w:rPr>
        <w:t xml:space="preserve">n the design of robust financial regulation a more rigorous ‘wind tunnel’ testing platform and also a means of monitoring policy for perverse incentives in an </w:t>
      </w:r>
      <w:proofErr w:type="spellStart"/>
      <w:r>
        <w:rPr>
          <w:rFonts w:ascii="Times New Roman" w:hAnsi="Times New Roman"/>
          <w:color w:val="000000"/>
          <w:lang w:eastAsia="en-GB"/>
        </w:rPr>
        <w:t>on going</w:t>
      </w:r>
      <w:proofErr w:type="spellEnd"/>
      <w:r>
        <w:rPr>
          <w:rFonts w:ascii="Times New Roman" w:hAnsi="Times New Roman"/>
          <w:color w:val="000000"/>
          <w:lang w:eastAsia="en-GB"/>
        </w:rPr>
        <w:t xml:space="preserve"> way is needed over and above what extant macro or cross sectional econometric models can achieve.  In the latter equations have to be estimated, while in ACE the cost benefit calculations are algorithms for banks to implement.  Permissible capital arbitrage refers to the least amount of regulatory capital that a bank can hold given market conditions and the myopic cost benefit analysis.  At least since the BCBS paper of Jackson </w:t>
      </w:r>
      <w:proofErr w:type="gramStart"/>
      <w:r>
        <w:rPr>
          <w:rFonts w:ascii="Times New Roman" w:hAnsi="Times New Roman"/>
          <w:color w:val="000000"/>
          <w:lang w:eastAsia="en-GB"/>
        </w:rPr>
        <w:t>et</w:t>
      </w:r>
      <w:proofErr w:type="gramEnd"/>
      <w:r>
        <w:rPr>
          <w:rFonts w:ascii="Times New Roman" w:hAnsi="Times New Roman"/>
          <w:color w:val="000000"/>
          <w:lang w:eastAsia="en-GB"/>
        </w:rPr>
        <w:t xml:space="preserve">. </w:t>
      </w:r>
      <w:proofErr w:type="gramStart"/>
      <w:r>
        <w:rPr>
          <w:rFonts w:ascii="Times New Roman" w:hAnsi="Times New Roman"/>
          <w:color w:val="000000"/>
          <w:lang w:eastAsia="en-GB"/>
        </w:rPr>
        <w:t>al</w:t>
      </w:r>
      <w:proofErr w:type="gramEnd"/>
      <w:r>
        <w:rPr>
          <w:rFonts w:ascii="Times New Roman" w:hAnsi="Times New Roman"/>
          <w:color w:val="000000"/>
          <w:lang w:eastAsia="en-GB"/>
        </w:rPr>
        <w:t xml:space="preserve"> (1999) </w:t>
      </w:r>
      <w:r w:rsidRPr="001811DA">
        <w:rPr>
          <w:rFonts w:ascii="Times New Roman" w:hAnsi="Times New Roman"/>
          <w:color w:val="000000"/>
          <w:lang w:eastAsia="en-GB"/>
        </w:rPr>
        <w:t xml:space="preserve">on </w:t>
      </w:r>
      <w:r w:rsidRPr="001811DA">
        <w:rPr>
          <w:rFonts w:ascii="Times New Roman" w:hAnsi="Times New Roman"/>
        </w:rPr>
        <w:t>the impact of the Basle Accord</w:t>
      </w:r>
      <w:r w:rsidRPr="001811DA">
        <w:rPr>
          <w:rFonts w:ascii="Times New Roman" w:hAnsi="Times New Roman"/>
          <w:color w:val="000000"/>
          <w:lang w:eastAsia="en-GB"/>
        </w:rPr>
        <w:t xml:space="preserve"> c</w:t>
      </w:r>
      <w:r w:rsidRPr="001811DA">
        <w:rPr>
          <w:rFonts w:ascii="Times New Roman" w:hAnsi="Times New Roman"/>
        </w:rPr>
        <w:t>apital requirements on bank behaviour, numerous empirical studies based on econometrics or simpl</w:t>
      </w:r>
      <w:r>
        <w:rPr>
          <w:rFonts w:ascii="Times New Roman" w:hAnsi="Times New Roman"/>
        </w:rPr>
        <w:t>e</w:t>
      </w:r>
      <w:r w:rsidRPr="001811DA">
        <w:rPr>
          <w:rFonts w:ascii="Times New Roman" w:hAnsi="Times New Roman"/>
        </w:rPr>
        <w:t xml:space="preserve"> charts and graphs have been undertaken.  Few if any of these papers make assessments</w:t>
      </w:r>
      <w:r>
        <w:rPr>
          <w:rFonts w:ascii="Times New Roman" w:hAnsi="Times New Roman"/>
        </w:rPr>
        <w:t>,</w:t>
      </w:r>
      <w:r w:rsidRPr="001811DA">
        <w:rPr>
          <w:rFonts w:ascii="Times New Roman" w:hAnsi="Times New Roman"/>
        </w:rPr>
        <w:t xml:space="preserve"> </w:t>
      </w:r>
      <w:r>
        <w:rPr>
          <w:rFonts w:ascii="Times New Roman" w:hAnsi="Times New Roman"/>
          <w:color w:val="000000"/>
          <w:lang w:eastAsia="en-GB"/>
        </w:rPr>
        <w:t>in any joined up way,</w:t>
      </w:r>
      <w:r w:rsidRPr="001811DA">
        <w:rPr>
          <w:rFonts w:ascii="Times New Roman" w:hAnsi="Times New Roman"/>
        </w:rPr>
        <w:t xml:space="preserve"> of the impact of regulat</w:t>
      </w:r>
      <w:r>
        <w:rPr>
          <w:rFonts w:ascii="Times New Roman" w:hAnsi="Times New Roman"/>
        </w:rPr>
        <w:t xml:space="preserve">ory incentives </w:t>
      </w:r>
      <w:r>
        <w:rPr>
          <w:rFonts w:ascii="Times New Roman" w:hAnsi="Times New Roman"/>
          <w:color w:val="000000"/>
          <w:lang w:eastAsia="en-GB"/>
        </w:rPr>
        <w:t>for banks to reduce capital from 8% to 1.6% through the use of CDS.  Certainly, the development of large scale computational agent based models that can directly access data from the financial databases was not considered.</w:t>
      </w:r>
      <w:r>
        <w:t xml:space="preserve">   </w:t>
      </w:r>
      <w:r w:rsidRPr="001811DA">
        <w:rPr>
          <w:rFonts w:ascii="Times New Roman" w:hAnsi="Times New Roman"/>
        </w:rPr>
        <w:t xml:space="preserve">From a data stand point </w:t>
      </w:r>
      <w:r w:rsidR="00897A2B">
        <w:rPr>
          <w:rFonts w:ascii="Times New Roman" w:hAnsi="Times New Roman"/>
        </w:rPr>
        <w:t>MAFN models</w:t>
      </w:r>
      <w:r w:rsidRPr="001811DA">
        <w:rPr>
          <w:rFonts w:ascii="Times New Roman" w:hAnsi="Times New Roman"/>
        </w:rPr>
        <w:t xml:space="preserve"> could have been set up for the US banks from 2003 when FDIC Call Reports had publicly available data on all RMBS holdings (broken down </w:t>
      </w:r>
      <w:r w:rsidRPr="001811DA">
        <w:rPr>
          <w:rFonts w:ascii="Times New Roman" w:hAnsi="Times New Roman"/>
        </w:rPr>
        <w:lastRenderedPageBreak/>
        <w:t xml:space="preserve">in some detail) and CDS activity (not broken down into product classes ).  </w:t>
      </w:r>
      <w:r>
        <w:rPr>
          <w:rFonts w:ascii="Times New Roman" w:hAnsi="Times New Roman"/>
        </w:rPr>
        <w:t>However</w:t>
      </w:r>
      <w:r w:rsidRPr="001811DA">
        <w:rPr>
          <w:rFonts w:ascii="Times New Roman" w:hAnsi="Times New Roman"/>
        </w:rPr>
        <w:t xml:space="preserve">, the data on </w:t>
      </w:r>
      <w:r>
        <w:rPr>
          <w:rFonts w:ascii="Times New Roman" w:hAnsi="Times New Roman"/>
        </w:rPr>
        <w:t xml:space="preserve">the </w:t>
      </w:r>
      <w:r w:rsidRPr="001811DA">
        <w:rPr>
          <w:rFonts w:ascii="Times New Roman" w:hAnsi="Times New Roman"/>
        </w:rPr>
        <w:t xml:space="preserve">crucial question on </w:t>
      </w:r>
      <w:r w:rsidRPr="001811DA">
        <w:rPr>
          <w:rFonts w:ascii="Times New Roman" w:hAnsi="Times New Roman"/>
          <w:i/>
        </w:rPr>
        <w:t xml:space="preserve">purchased CDS protection that is recognized as a guarantee for regulatory capital </w:t>
      </w:r>
      <w:proofErr w:type="gramStart"/>
      <w:r w:rsidRPr="001811DA">
        <w:rPr>
          <w:rFonts w:ascii="Times New Roman" w:hAnsi="Times New Roman"/>
          <w:i/>
        </w:rPr>
        <w:t>purposes</w:t>
      </w:r>
      <w:r w:rsidRPr="001811DA">
        <w:rPr>
          <w:rFonts w:ascii="Times New Roman" w:hAnsi="Times New Roman"/>
        </w:rPr>
        <w:t xml:space="preserve">  (</w:t>
      </w:r>
      <w:proofErr w:type="gramEnd"/>
      <w:r w:rsidRPr="001811DA">
        <w:rPr>
          <w:rFonts w:ascii="Times New Roman" w:hAnsi="Times New Roman"/>
        </w:rPr>
        <w:t>FDIC Call Report code RCFDG404)</w:t>
      </w:r>
      <w:r w:rsidR="00897A2B">
        <w:rPr>
          <w:rFonts w:ascii="Times New Roman" w:hAnsi="Times New Roman"/>
        </w:rPr>
        <w:t xml:space="preserve"> </w:t>
      </w:r>
      <w:r w:rsidRPr="001811DA">
        <w:rPr>
          <w:rFonts w:ascii="Times New Roman" w:hAnsi="Times New Roman"/>
        </w:rPr>
        <w:t xml:space="preserve">did not get reported till 2009 Q2.                                               </w:t>
      </w:r>
    </w:p>
    <w:p w:rsidR="007E23E0" w:rsidRDefault="007E23E0" w:rsidP="007E23E0">
      <w:pPr>
        <w:spacing w:line="360" w:lineRule="auto"/>
        <w:jc w:val="both"/>
        <w:rPr>
          <w:rFonts w:ascii="Times New Roman" w:hAnsi="Times New Roman"/>
        </w:rPr>
      </w:pPr>
      <w:r>
        <w:rPr>
          <w:rFonts w:ascii="Times New Roman" w:hAnsi="Times New Roman"/>
        </w:rPr>
        <w:t>In agent based models, rule following behaviour as in complying with the regulation and the conduct of carry trade activity are relatively easy to implement. This is because unlike fully fledged adaptive behaviour, agents’ strategies, intelligence and autonomy are limited to following the letter of the law and strictly verifying conditions for wh</w:t>
      </w:r>
      <w:r w:rsidR="005A7DD6">
        <w:rPr>
          <w:rFonts w:ascii="Times New Roman" w:hAnsi="Times New Roman"/>
        </w:rPr>
        <w:t>ich</w:t>
      </w:r>
      <w:r>
        <w:rPr>
          <w:rFonts w:ascii="Times New Roman" w:hAnsi="Times New Roman"/>
        </w:rPr>
        <w:t xml:space="preserve"> the most profitable arbitrage appl</w:t>
      </w:r>
      <w:r w:rsidR="005A7DD6">
        <w:rPr>
          <w:rFonts w:ascii="Times New Roman" w:hAnsi="Times New Roman"/>
        </w:rPr>
        <w:t>ies</w:t>
      </w:r>
      <w:r>
        <w:rPr>
          <w:rFonts w:ascii="Times New Roman" w:hAnsi="Times New Roman"/>
        </w:rPr>
        <w:t xml:space="preserve">. The modeller, however, faces the challenge of understanding the regulation, provide market conditions for the triggers that need to be followed in a carry trade and then implement the agents’ strategies in an algorithm.  We have confined the simulation to the 2006-07 </w:t>
      </w:r>
      <w:proofErr w:type="gramStart"/>
      <w:r>
        <w:rPr>
          <w:rFonts w:ascii="Times New Roman" w:hAnsi="Times New Roman"/>
        </w:rPr>
        <w:t>period</w:t>
      </w:r>
      <w:proofErr w:type="gramEnd"/>
      <w:r>
        <w:rPr>
          <w:rFonts w:ascii="Times New Roman" w:hAnsi="Times New Roman"/>
        </w:rPr>
        <w:t xml:space="preserve"> and restricted the maximum of capital savings in the context of replicating the ABX-HE index.  We reiterate that the pursuit of CDS negative carry trade was not the main objective of the banks’ strategy but the side effects of the pursuit of capital reduction from the CRT scheme of Basel II.  There is clear evidence that the bonanza of the rapid growth of banks’ holdings of RMBS and CDS purchases during the 2006-7 period required capital savings from CRT, which we estimate to be about $20bn. The simulation shows that with the application of leverage</w:t>
      </w:r>
      <w:r w:rsidR="000D3B6E">
        <w:rPr>
          <w:rFonts w:ascii="Times New Roman" w:hAnsi="Times New Roman"/>
        </w:rPr>
        <w:t>,</w:t>
      </w:r>
      <w:r>
        <w:rPr>
          <w:rFonts w:ascii="Times New Roman" w:hAnsi="Times New Roman"/>
        </w:rPr>
        <w:t xml:space="preserve"> RMBS assets for the 26 FDIC banks (viz. those that also reported CDS purchases) peaked at about $750bn in 2007 Q1 (see Table 2 row 2).  Maximizing capital savings and minimizing risk weighted assets are two sides of the same coin. The $750bn or so of banks’ RMBS assets in 2007 Q1 which we simulated given the regulation on risk </w:t>
      </w:r>
      <w:proofErr w:type="gramStart"/>
      <w:r>
        <w:rPr>
          <w:rFonts w:ascii="Times New Roman" w:hAnsi="Times New Roman"/>
        </w:rPr>
        <w:t>weighting,</w:t>
      </w:r>
      <w:proofErr w:type="gramEnd"/>
      <w:r>
        <w:rPr>
          <w:rFonts w:ascii="Times New Roman" w:hAnsi="Times New Roman"/>
        </w:rPr>
        <w:t xml:space="preserve"> implies risk weighted assets of $60 </w:t>
      </w:r>
      <w:proofErr w:type="spellStart"/>
      <w:r>
        <w:rPr>
          <w:rFonts w:ascii="Times New Roman" w:hAnsi="Times New Roman"/>
        </w:rPr>
        <w:t>bn</w:t>
      </w:r>
      <w:proofErr w:type="spellEnd"/>
      <w:r>
        <w:rPr>
          <w:rFonts w:ascii="Times New Roman" w:hAnsi="Times New Roman"/>
        </w:rPr>
        <w:t xml:space="preserve"> and a meagre Tier 1 capital of $4.8 bn. The fact that $4.8 </w:t>
      </w:r>
      <w:proofErr w:type="spellStart"/>
      <w:r>
        <w:rPr>
          <w:rFonts w:ascii="Times New Roman" w:hAnsi="Times New Roman"/>
        </w:rPr>
        <w:t>bn</w:t>
      </w:r>
      <w:proofErr w:type="spellEnd"/>
      <w:r>
        <w:rPr>
          <w:rFonts w:ascii="Times New Roman" w:hAnsi="Times New Roman"/>
        </w:rPr>
        <w:t xml:space="preserve"> constitutes 8% of risk weighted assets is highly misleading when it is less than 1% of total assets. The latter, </w:t>
      </w:r>
      <w:proofErr w:type="spellStart"/>
      <w:r>
        <w:rPr>
          <w:rFonts w:ascii="Times New Roman" w:hAnsi="Times New Roman"/>
        </w:rPr>
        <w:t>ofcourse</w:t>
      </w:r>
      <w:proofErr w:type="spellEnd"/>
      <w:r>
        <w:rPr>
          <w:rFonts w:ascii="Times New Roman" w:hAnsi="Times New Roman"/>
        </w:rPr>
        <w:t xml:space="preserve">, corresponds to the buffer needed to cover for probable losses from AAA assets. </w:t>
      </w:r>
    </w:p>
    <w:p w:rsidR="00D53929" w:rsidRDefault="007B6DBB" w:rsidP="00B871E5">
      <w:pPr>
        <w:spacing w:line="360" w:lineRule="auto"/>
        <w:rPr>
          <w:rFonts w:ascii="Times New Roman" w:hAnsi="Times New Roman"/>
          <w:color w:val="000000"/>
          <w:lang w:eastAsia="en-GB"/>
        </w:rPr>
      </w:pPr>
      <w:r>
        <w:rPr>
          <w:rFonts w:ascii="Times New Roman" w:hAnsi="Times New Roman"/>
        </w:rPr>
        <w:t>Gibson (2007</w:t>
      </w:r>
      <w:proofErr w:type="gramStart"/>
      <w:r>
        <w:rPr>
          <w:rFonts w:ascii="Times New Roman" w:hAnsi="Times New Roman"/>
        </w:rPr>
        <w:t>)  said</w:t>
      </w:r>
      <w:proofErr w:type="gramEnd"/>
      <w:r>
        <w:rPr>
          <w:rFonts w:ascii="Times New Roman" w:hAnsi="Times New Roman"/>
        </w:rPr>
        <w:t xml:space="preserve"> : “</w:t>
      </w:r>
      <w:r w:rsidR="00653CCF">
        <w:rPr>
          <w:rFonts w:ascii="Times New Roman" w:hAnsi="Times New Roman"/>
          <w:color w:val="000000"/>
          <w:lang w:eastAsia="en-GB"/>
        </w:rPr>
        <w:t xml:space="preserve"> </w:t>
      </w:r>
      <w:r w:rsidR="00653CCF" w:rsidRPr="00653CCF">
        <w:rPr>
          <w:rFonts w:ascii="Times New Roman" w:hAnsi="Times New Roman"/>
          <w:sz w:val="23"/>
          <w:szCs w:val="23"/>
        </w:rPr>
        <w:t>One fundamental reality of credit derivatives is that they do not eliminate credit risk. They merely shift it around. As a result, when the credit cycle turns and default rates rise, someone, somewhere, will lose money.</w:t>
      </w:r>
      <w:r>
        <w:rPr>
          <w:rFonts w:ascii="Times New Roman" w:hAnsi="Times New Roman"/>
          <w:sz w:val="23"/>
          <w:szCs w:val="23"/>
        </w:rPr>
        <w:t xml:space="preserve">”   Basel II and III scheme of CRT </w:t>
      </w:r>
      <w:r w:rsidR="00D53929">
        <w:rPr>
          <w:rFonts w:ascii="Times New Roman" w:hAnsi="Times New Roman"/>
          <w:color w:val="000000"/>
          <w:lang w:eastAsia="en-GB"/>
        </w:rPr>
        <w:t>suffers from the fallacy of composition in that removing credit risk from banks’ balance sheets</w:t>
      </w:r>
      <w:r w:rsidR="00E132D8">
        <w:rPr>
          <w:rFonts w:ascii="Times New Roman" w:hAnsi="Times New Roman"/>
          <w:color w:val="000000"/>
          <w:lang w:eastAsia="en-GB"/>
        </w:rPr>
        <w:t xml:space="preserve"> which is good thing from the perspective of the bank (at least for capital savings and short run asset expansion)</w:t>
      </w:r>
      <w:r w:rsidR="00D53929">
        <w:rPr>
          <w:rFonts w:ascii="Times New Roman" w:hAnsi="Times New Roman"/>
          <w:color w:val="000000"/>
          <w:lang w:eastAsia="en-GB"/>
        </w:rPr>
        <w:t xml:space="preserve"> </w:t>
      </w:r>
      <w:r w:rsidR="00792252">
        <w:rPr>
          <w:rFonts w:ascii="Times New Roman" w:hAnsi="Times New Roman"/>
          <w:color w:val="000000"/>
          <w:lang w:eastAsia="en-GB"/>
        </w:rPr>
        <w:t>–  the systemic risk consequences of high</w:t>
      </w:r>
      <w:r w:rsidR="00E132D8">
        <w:rPr>
          <w:rFonts w:ascii="Times New Roman" w:hAnsi="Times New Roman"/>
          <w:color w:val="000000"/>
          <w:lang w:eastAsia="en-GB"/>
        </w:rPr>
        <w:t xml:space="preserve"> </w:t>
      </w:r>
      <w:r w:rsidR="007C6527">
        <w:rPr>
          <w:rFonts w:ascii="Times New Roman" w:hAnsi="Times New Roman"/>
          <w:color w:val="000000"/>
          <w:lang w:eastAsia="en-GB"/>
        </w:rPr>
        <w:t>concentration of counterparties</w:t>
      </w:r>
      <w:r w:rsidR="00792252">
        <w:rPr>
          <w:rFonts w:ascii="Times New Roman" w:hAnsi="Times New Roman"/>
          <w:color w:val="000000"/>
          <w:lang w:eastAsia="en-GB"/>
        </w:rPr>
        <w:t xml:space="preserve">  was not quantitatively modelled and visualized.  </w:t>
      </w:r>
      <w:r w:rsidR="00E132D8">
        <w:rPr>
          <w:rFonts w:ascii="Times New Roman" w:hAnsi="Times New Roman"/>
          <w:color w:val="000000"/>
          <w:lang w:eastAsia="en-GB"/>
        </w:rPr>
        <w:t xml:space="preserve">The automated Markose </w:t>
      </w:r>
      <w:proofErr w:type="gramStart"/>
      <w:r w:rsidR="00E132D8">
        <w:rPr>
          <w:rFonts w:ascii="Times New Roman" w:hAnsi="Times New Roman"/>
          <w:i/>
          <w:color w:val="000000"/>
          <w:lang w:eastAsia="en-GB"/>
        </w:rPr>
        <w:t>et</w:t>
      </w:r>
      <w:proofErr w:type="gramEnd"/>
      <w:r w:rsidR="00E132D8">
        <w:rPr>
          <w:rFonts w:ascii="Times New Roman" w:hAnsi="Times New Roman"/>
          <w:i/>
          <w:color w:val="000000"/>
          <w:lang w:eastAsia="en-GB"/>
        </w:rPr>
        <w:t xml:space="preserve">. al. </w:t>
      </w:r>
      <w:r w:rsidR="001E280D">
        <w:rPr>
          <w:rFonts w:ascii="Times New Roman" w:hAnsi="Times New Roman"/>
          <w:color w:val="000000"/>
          <w:lang w:eastAsia="en-GB"/>
        </w:rPr>
        <w:t>(2010</w:t>
      </w:r>
      <w:proofErr w:type="gramStart"/>
      <w:r w:rsidR="001E280D">
        <w:rPr>
          <w:rFonts w:ascii="Times New Roman" w:hAnsi="Times New Roman"/>
          <w:color w:val="000000"/>
          <w:lang w:eastAsia="en-GB"/>
        </w:rPr>
        <w:t>)  and</w:t>
      </w:r>
      <w:proofErr w:type="gramEnd"/>
      <w:r w:rsidR="001E280D">
        <w:rPr>
          <w:rFonts w:ascii="Times New Roman" w:hAnsi="Times New Roman"/>
          <w:color w:val="000000"/>
          <w:lang w:eastAsia="en-GB"/>
        </w:rPr>
        <w:t xml:space="preserve"> Mar</w:t>
      </w:r>
      <w:r w:rsidR="00E132D8">
        <w:rPr>
          <w:rFonts w:ascii="Times New Roman" w:hAnsi="Times New Roman"/>
          <w:color w:val="000000"/>
          <w:lang w:eastAsia="en-GB"/>
        </w:rPr>
        <w:t>ko</w:t>
      </w:r>
      <w:r w:rsidR="001E280D">
        <w:rPr>
          <w:rFonts w:ascii="Times New Roman" w:hAnsi="Times New Roman"/>
          <w:color w:val="000000"/>
          <w:lang w:eastAsia="en-GB"/>
        </w:rPr>
        <w:t>s</w:t>
      </w:r>
      <w:r w:rsidR="00E132D8">
        <w:rPr>
          <w:rFonts w:ascii="Times New Roman" w:hAnsi="Times New Roman"/>
          <w:color w:val="000000"/>
          <w:lang w:eastAsia="en-GB"/>
        </w:rPr>
        <w:t xml:space="preserve">e </w:t>
      </w:r>
      <w:r w:rsidR="00765358">
        <w:rPr>
          <w:rFonts w:ascii="Times New Roman" w:hAnsi="Times New Roman"/>
          <w:i/>
          <w:color w:val="000000"/>
          <w:lang w:eastAsia="en-GB"/>
        </w:rPr>
        <w:t>et. al.</w:t>
      </w:r>
      <w:r w:rsidR="00E132D8">
        <w:rPr>
          <w:rFonts w:ascii="Times New Roman" w:hAnsi="Times New Roman"/>
          <w:color w:val="000000"/>
          <w:lang w:eastAsia="en-GB"/>
        </w:rPr>
        <w:t xml:space="preserve"> (2011) network </w:t>
      </w:r>
      <w:proofErr w:type="spellStart"/>
      <w:r w:rsidR="00E132D8">
        <w:rPr>
          <w:rFonts w:ascii="Times New Roman" w:hAnsi="Times New Roman"/>
          <w:color w:val="000000"/>
          <w:lang w:eastAsia="en-GB"/>
        </w:rPr>
        <w:t>visualizer</w:t>
      </w:r>
      <w:proofErr w:type="spellEnd"/>
      <w:r w:rsidR="00E132D8">
        <w:rPr>
          <w:rFonts w:ascii="Times New Roman" w:hAnsi="Times New Roman"/>
          <w:color w:val="000000"/>
          <w:lang w:eastAsia="en-GB"/>
        </w:rPr>
        <w:t xml:space="preserve"> that uses concentration and market share statistics to calibrate the </w:t>
      </w:r>
      <w:r w:rsidR="001E280D">
        <w:rPr>
          <w:rFonts w:ascii="Times New Roman" w:hAnsi="Times New Roman"/>
          <w:color w:val="000000"/>
          <w:lang w:eastAsia="en-GB"/>
        </w:rPr>
        <w:t xml:space="preserve">degree distribution and the actual fair value flows </w:t>
      </w:r>
      <w:r w:rsidR="005234FD">
        <w:rPr>
          <w:rFonts w:ascii="Times New Roman" w:hAnsi="Times New Roman"/>
          <w:color w:val="000000"/>
          <w:lang w:eastAsia="en-GB"/>
        </w:rPr>
        <w:t xml:space="preserve"> show</w:t>
      </w:r>
      <w:r w:rsidR="00E132D8">
        <w:rPr>
          <w:rFonts w:ascii="Times New Roman" w:hAnsi="Times New Roman"/>
          <w:color w:val="000000"/>
          <w:lang w:eastAsia="en-GB"/>
        </w:rPr>
        <w:t xml:space="preserve"> that Gibson (2007) is far off the mark about who will lose money and the nature of systemic risk.  Quite simply a threat to any of the top 5 US banks is an immediate threat</w:t>
      </w:r>
      <w:r w:rsidR="001354D5">
        <w:rPr>
          <w:rFonts w:ascii="Times New Roman" w:hAnsi="Times New Roman"/>
          <w:color w:val="000000"/>
          <w:lang w:eastAsia="en-GB"/>
        </w:rPr>
        <w:t xml:space="preserve"> to the other four.</w:t>
      </w:r>
      <w:r w:rsidR="00E132D8">
        <w:rPr>
          <w:rFonts w:ascii="Times New Roman" w:hAnsi="Times New Roman"/>
          <w:color w:val="000000"/>
          <w:lang w:eastAsia="en-GB"/>
        </w:rPr>
        <w:t xml:space="preserve">  The network topolo</w:t>
      </w:r>
      <w:r w:rsidR="001354D5">
        <w:rPr>
          <w:rFonts w:ascii="Times New Roman" w:hAnsi="Times New Roman"/>
          <w:color w:val="000000"/>
          <w:lang w:eastAsia="en-GB"/>
        </w:rPr>
        <w:t>g</w:t>
      </w:r>
      <w:r w:rsidR="00E132D8">
        <w:rPr>
          <w:rFonts w:ascii="Times New Roman" w:hAnsi="Times New Roman"/>
          <w:color w:val="000000"/>
          <w:lang w:eastAsia="en-GB"/>
        </w:rPr>
        <w:t xml:space="preserve">y where the very high percentage of exposures is concentrated </w:t>
      </w:r>
      <w:r w:rsidR="00EE542E">
        <w:rPr>
          <w:rFonts w:ascii="Times New Roman" w:hAnsi="Times New Roman"/>
          <w:color w:val="000000"/>
          <w:lang w:eastAsia="en-GB"/>
        </w:rPr>
        <w:t xml:space="preserve">among a few highly interconnected banks implies that they </w:t>
      </w:r>
      <w:r w:rsidR="00E132D8">
        <w:rPr>
          <w:rFonts w:ascii="Times New Roman" w:hAnsi="Times New Roman"/>
          <w:color w:val="000000"/>
          <w:lang w:eastAsia="en-GB"/>
        </w:rPr>
        <w:t>will stand and fall together.</w:t>
      </w:r>
      <w:r w:rsidR="003F6A69">
        <w:rPr>
          <w:rFonts w:ascii="Times New Roman" w:hAnsi="Times New Roman"/>
          <w:color w:val="000000"/>
          <w:lang w:eastAsia="en-GB"/>
        </w:rPr>
        <w:t xml:space="preserve">  </w:t>
      </w:r>
      <w:r w:rsidR="00EE542E">
        <w:rPr>
          <w:rFonts w:ascii="Times New Roman" w:hAnsi="Times New Roman"/>
          <w:color w:val="000000"/>
          <w:lang w:eastAsia="en-GB"/>
        </w:rPr>
        <w:t xml:space="preserve">Hence, the </w:t>
      </w:r>
      <w:r w:rsidR="00EE542E">
        <w:rPr>
          <w:rFonts w:ascii="Times New Roman" w:hAnsi="Times New Roman"/>
          <w:color w:val="000000"/>
          <w:lang w:eastAsia="en-GB"/>
        </w:rPr>
        <w:lastRenderedPageBreak/>
        <w:t>implied</w:t>
      </w:r>
      <w:r w:rsidR="003F6A69">
        <w:rPr>
          <w:rFonts w:ascii="Times New Roman" w:hAnsi="Times New Roman"/>
          <w:color w:val="000000"/>
          <w:lang w:eastAsia="en-GB"/>
        </w:rPr>
        <w:t xml:space="preserve"> socialized losses </w:t>
      </w:r>
      <w:r w:rsidR="00EE542E">
        <w:rPr>
          <w:rFonts w:ascii="Times New Roman" w:hAnsi="Times New Roman"/>
          <w:color w:val="000000"/>
          <w:lang w:eastAsia="en-GB"/>
        </w:rPr>
        <w:t xml:space="preserve">are very large and the CDS network structures cannot </w:t>
      </w:r>
      <w:r w:rsidR="00705ABE">
        <w:rPr>
          <w:rFonts w:ascii="Times New Roman" w:hAnsi="Times New Roman"/>
          <w:color w:val="000000"/>
          <w:lang w:eastAsia="en-GB"/>
        </w:rPr>
        <w:t xml:space="preserve">be supported by a capital base which is eroded by </w:t>
      </w:r>
      <w:r w:rsidR="00206034">
        <w:rPr>
          <w:rFonts w:ascii="Times New Roman" w:hAnsi="Times New Roman"/>
          <w:color w:val="000000"/>
          <w:lang w:eastAsia="en-GB"/>
        </w:rPr>
        <w:t xml:space="preserve">CRT </w:t>
      </w:r>
      <w:r w:rsidR="00705ABE">
        <w:rPr>
          <w:rFonts w:ascii="Times New Roman" w:hAnsi="Times New Roman"/>
          <w:color w:val="000000"/>
          <w:lang w:eastAsia="en-GB"/>
        </w:rPr>
        <w:t>leveraged asset growth.</w:t>
      </w:r>
      <w:r w:rsidR="00D360A1">
        <w:rPr>
          <w:rFonts w:ascii="Times New Roman" w:hAnsi="Times New Roman"/>
          <w:color w:val="000000"/>
          <w:lang w:eastAsia="en-GB"/>
        </w:rPr>
        <w:t xml:space="preserve"> </w:t>
      </w:r>
      <w:r w:rsidR="00D03ADC">
        <w:rPr>
          <w:rFonts w:ascii="Times New Roman" w:hAnsi="Times New Roman"/>
          <w:color w:val="000000"/>
          <w:lang w:eastAsia="en-GB"/>
        </w:rPr>
        <w:t xml:space="preserve"> </w:t>
      </w:r>
      <w:r w:rsidR="00E132D8">
        <w:rPr>
          <w:rFonts w:ascii="Times New Roman" w:hAnsi="Times New Roman"/>
          <w:color w:val="000000"/>
          <w:lang w:eastAsia="en-GB"/>
        </w:rPr>
        <w:t xml:space="preserve"> </w:t>
      </w:r>
      <w:r w:rsidR="00792252">
        <w:rPr>
          <w:rFonts w:ascii="Times New Roman" w:hAnsi="Times New Roman"/>
          <w:color w:val="000000"/>
          <w:lang w:eastAsia="en-GB"/>
        </w:rPr>
        <w:t xml:space="preserve"> </w:t>
      </w:r>
      <w:r w:rsidR="00D53929">
        <w:rPr>
          <w:rFonts w:ascii="Times New Roman" w:hAnsi="Times New Roman"/>
          <w:color w:val="000000"/>
          <w:lang w:eastAsia="en-GB"/>
        </w:rPr>
        <w:t xml:space="preserve">  </w:t>
      </w:r>
    </w:p>
    <w:p w:rsidR="00A30632" w:rsidRDefault="0067548E" w:rsidP="0065713D">
      <w:pPr>
        <w:spacing w:before="100" w:beforeAutospacing="1" w:after="100" w:afterAutospacing="1" w:line="360" w:lineRule="auto"/>
        <w:rPr>
          <w:rFonts w:ascii="Times New Roman" w:hAnsi="Times New Roman"/>
        </w:rPr>
      </w:pPr>
      <w:r>
        <w:rPr>
          <w:rFonts w:ascii="Times New Roman" w:hAnsi="Times New Roman"/>
        </w:rPr>
        <w:t>In a data base driven multi-agent model of the US financial sector, a banks’ balance sheet and off balance sheet activities is a vector and form multi-level networks.  For instance, even for purposes of this simulation, as noted by Gorton (</w:t>
      </w:r>
      <w:r w:rsidR="00410F29">
        <w:rPr>
          <w:rFonts w:ascii="Times New Roman" w:hAnsi="Times New Roman"/>
        </w:rPr>
        <w:t>2009 a</w:t>
      </w:r>
      <w:r>
        <w:rPr>
          <w:rFonts w:ascii="Times New Roman" w:hAnsi="Times New Roman"/>
        </w:rPr>
        <w:t>) the leveraged funds used by banks (and non-banks) was raised in the repo market.  It will be interesting to see how the FDIC banks’ repo data will fit in with the simulated demands</w:t>
      </w:r>
      <w:r w:rsidR="00D360A1">
        <w:rPr>
          <w:rFonts w:ascii="Times New Roman" w:hAnsi="Times New Roman"/>
        </w:rPr>
        <w:t xml:space="preserve"> for leveraged funds</w:t>
      </w:r>
      <w:r>
        <w:rPr>
          <w:rFonts w:ascii="Times New Roman" w:hAnsi="Times New Roman"/>
        </w:rPr>
        <w:t xml:space="preserve"> fr</w:t>
      </w:r>
      <w:r w:rsidR="00410F29">
        <w:rPr>
          <w:rFonts w:ascii="Times New Roman" w:hAnsi="Times New Roman"/>
        </w:rPr>
        <w:t>om this exercise.</w:t>
      </w:r>
      <w:r>
        <w:rPr>
          <w:rFonts w:ascii="Times New Roman" w:hAnsi="Times New Roman"/>
        </w:rPr>
        <w:t xml:space="preserve">  Full developments of large scale</w:t>
      </w:r>
      <w:r w:rsidR="00897A2B">
        <w:rPr>
          <w:rFonts w:ascii="Times New Roman" w:hAnsi="Times New Roman"/>
        </w:rPr>
        <w:t xml:space="preserve"> MAFN</w:t>
      </w:r>
      <w:r>
        <w:rPr>
          <w:rFonts w:ascii="Times New Roman" w:hAnsi="Times New Roman"/>
        </w:rPr>
        <w:t xml:space="preserve"> models as hyper</w:t>
      </w:r>
      <w:r w:rsidR="00897A2B">
        <w:rPr>
          <w:rFonts w:ascii="Times New Roman" w:hAnsi="Times New Roman"/>
        </w:rPr>
        <w:t>-</w:t>
      </w:r>
      <w:r>
        <w:rPr>
          <w:rFonts w:ascii="Times New Roman" w:hAnsi="Times New Roman"/>
        </w:rPr>
        <w:t xml:space="preserve">networks (see, </w:t>
      </w:r>
      <w:r w:rsidR="00767378">
        <w:rPr>
          <w:rFonts w:ascii="Times New Roman" w:hAnsi="Times New Roman"/>
        </w:rPr>
        <w:t>Johnson,</w:t>
      </w:r>
      <w:r w:rsidR="00410F29">
        <w:rPr>
          <w:rFonts w:ascii="Times New Roman" w:hAnsi="Times New Roman"/>
        </w:rPr>
        <w:t xml:space="preserve"> 2006, 2011</w:t>
      </w:r>
      <w:r>
        <w:rPr>
          <w:rFonts w:ascii="Times New Roman" w:hAnsi="Times New Roman"/>
        </w:rPr>
        <w:t>) are only at its infancy.</w:t>
      </w:r>
      <w:r w:rsidR="003F6A69">
        <w:rPr>
          <w:rFonts w:ascii="Times New Roman" w:hAnsi="Times New Roman"/>
        </w:rPr>
        <w:t xml:space="preserve"> </w:t>
      </w:r>
      <w:r w:rsidR="00EE542E">
        <w:rPr>
          <w:rFonts w:ascii="Times New Roman" w:hAnsi="Times New Roman"/>
        </w:rPr>
        <w:t xml:space="preserve"> </w:t>
      </w:r>
      <w:r w:rsidR="0065713D">
        <w:rPr>
          <w:rFonts w:ascii="Times New Roman" w:hAnsi="Times New Roman"/>
        </w:rPr>
        <w:t xml:space="preserve">Integration and automation of financial data bases in an ACE framework aims to </w:t>
      </w:r>
      <w:r w:rsidR="0065713D" w:rsidRPr="000D3B6E">
        <w:rPr>
          <w:rFonts w:ascii="Times New Roman" w:hAnsi="Times New Roman"/>
        </w:rPr>
        <w:t>tran</w:t>
      </w:r>
      <w:r w:rsidR="00767378" w:rsidRPr="000D3B6E">
        <w:rPr>
          <w:rFonts w:ascii="Times New Roman" w:hAnsi="Times New Roman"/>
        </w:rPr>
        <w:t>s</w:t>
      </w:r>
      <w:r w:rsidR="00206034" w:rsidRPr="000D3B6E">
        <w:rPr>
          <w:rFonts w:ascii="Times New Roman" w:eastAsia="Times New Roman" w:hAnsi="Times New Roman"/>
          <w:lang w:val="en-US" w:eastAsia="en-GB"/>
        </w:rPr>
        <w:t>form the data from a document or record view of the world to an object-centric view</w:t>
      </w:r>
      <w:r w:rsidR="0065713D" w:rsidRPr="000D3B6E">
        <w:rPr>
          <w:rFonts w:ascii="Times New Roman" w:eastAsia="Times New Roman" w:hAnsi="Times New Roman"/>
          <w:lang w:val="en-US" w:eastAsia="en-GB"/>
        </w:rPr>
        <w:t xml:space="preserve"> (see </w:t>
      </w:r>
      <w:proofErr w:type="spellStart"/>
      <w:r w:rsidR="0065713D" w:rsidRPr="000D3B6E">
        <w:rPr>
          <w:rFonts w:ascii="Times New Roman" w:eastAsia="Times New Roman" w:hAnsi="Times New Roman"/>
          <w:lang w:val="en-US" w:eastAsia="en-GB"/>
        </w:rPr>
        <w:t>Balakrishnan</w:t>
      </w:r>
      <w:proofErr w:type="spellEnd"/>
      <w:r w:rsidR="0065713D" w:rsidRPr="000D3B6E">
        <w:rPr>
          <w:rFonts w:ascii="Times New Roman" w:eastAsia="Times New Roman" w:hAnsi="Times New Roman"/>
          <w:lang w:val="en-US" w:eastAsia="en-GB"/>
        </w:rPr>
        <w:t xml:space="preserve"> </w:t>
      </w:r>
      <w:r w:rsidR="0065713D" w:rsidRPr="000D3B6E">
        <w:rPr>
          <w:rFonts w:ascii="Times New Roman" w:eastAsia="Times New Roman" w:hAnsi="Times New Roman"/>
          <w:i/>
          <w:lang w:val="en-US" w:eastAsia="en-GB"/>
        </w:rPr>
        <w:t xml:space="preserve">et. </w:t>
      </w:r>
      <w:r w:rsidR="00597A3E" w:rsidRPr="000D3B6E">
        <w:rPr>
          <w:rFonts w:ascii="Times New Roman" w:eastAsia="Times New Roman" w:hAnsi="Times New Roman"/>
          <w:i/>
          <w:lang w:val="en-US" w:eastAsia="en-GB"/>
        </w:rPr>
        <w:t>al.</w:t>
      </w:r>
      <w:r w:rsidR="0065713D" w:rsidRPr="000D3B6E">
        <w:rPr>
          <w:rFonts w:ascii="Times New Roman" w:eastAsia="Times New Roman" w:hAnsi="Times New Roman"/>
          <w:lang w:val="en-US" w:eastAsia="en-GB"/>
        </w:rPr>
        <w:t xml:space="preserve"> 2010</w:t>
      </w:r>
      <w:r w:rsidR="00597A3E" w:rsidRPr="000D3B6E">
        <w:rPr>
          <w:rFonts w:ascii="Times New Roman" w:eastAsia="Times New Roman" w:hAnsi="Times New Roman"/>
          <w:lang w:val="en-US" w:eastAsia="en-GB"/>
        </w:rPr>
        <w:t>)</w:t>
      </w:r>
      <w:r w:rsidR="00206034" w:rsidRPr="000D3B6E">
        <w:rPr>
          <w:rFonts w:ascii="Times New Roman" w:eastAsia="Times New Roman" w:hAnsi="Times New Roman"/>
          <w:lang w:val="en-US" w:eastAsia="en-GB"/>
        </w:rPr>
        <w:t xml:space="preserve">, where multiple facts about the same real-world </w:t>
      </w:r>
      <w:r w:rsidR="0065713D" w:rsidRPr="000D3B6E">
        <w:rPr>
          <w:rFonts w:ascii="Times New Roman" w:eastAsia="Times New Roman" w:hAnsi="Times New Roman"/>
          <w:lang w:val="en-US" w:eastAsia="en-GB"/>
        </w:rPr>
        <w:t xml:space="preserve">financial </w:t>
      </w:r>
      <w:r w:rsidR="00206034" w:rsidRPr="000D3B6E">
        <w:rPr>
          <w:rFonts w:ascii="Times New Roman" w:eastAsia="Times New Roman" w:hAnsi="Times New Roman"/>
          <w:lang w:val="en-US" w:eastAsia="en-GB"/>
        </w:rPr>
        <w:t xml:space="preserve">entity are </w:t>
      </w:r>
      <w:r w:rsidR="0065713D" w:rsidRPr="000D3B6E">
        <w:rPr>
          <w:rFonts w:ascii="Times New Roman" w:eastAsia="Times New Roman" w:hAnsi="Times New Roman"/>
          <w:lang w:val="en-US" w:eastAsia="en-GB"/>
        </w:rPr>
        <w:t>accessed to give a composite visualization of their interactions with other such entities</w:t>
      </w:r>
      <w:r w:rsidR="00597A3E" w:rsidRPr="000D3B6E">
        <w:rPr>
          <w:rFonts w:ascii="Times New Roman" w:eastAsia="Times New Roman" w:hAnsi="Times New Roman"/>
          <w:lang w:val="en-US" w:eastAsia="en-GB"/>
        </w:rPr>
        <w:t xml:space="preserve"> in a scalable way</w:t>
      </w:r>
      <w:r w:rsidR="0065713D" w:rsidRPr="000D3B6E">
        <w:rPr>
          <w:rFonts w:ascii="Times New Roman" w:eastAsia="Times New Roman" w:hAnsi="Times New Roman"/>
          <w:lang w:val="en-US" w:eastAsia="en-GB"/>
        </w:rPr>
        <w:t>.</w:t>
      </w:r>
      <w:r w:rsidR="0065713D">
        <w:rPr>
          <w:rFonts w:ascii="Times New Roman" w:eastAsia="Times New Roman" w:hAnsi="Times New Roman"/>
          <w:sz w:val="24"/>
          <w:szCs w:val="24"/>
          <w:lang w:val="en-US" w:eastAsia="en-GB"/>
        </w:rPr>
        <w:t xml:space="preserve"> </w:t>
      </w:r>
      <w:r w:rsidR="00893880">
        <w:rPr>
          <w:rFonts w:ascii="Times New Roman" w:hAnsi="Times New Roman"/>
        </w:rPr>
        <w:t xml:space="preserve">Based on the </w:t>
      </w:r>
      <w:r w:rsidR="00AD1DDA">
        <w:rPr>
          <w:rFonts w:ascii="Times New Roman" w:hAnsi="Times New Roman"/>
        </w:rPr>
        <w:t>above discussions,</w:t>
      </w:r>
      <w:r w:rsidR="00EE542E">
        <w:rPr>
          <w:rFonts w:ascii="Times New Roman" w:hAnsi="Times New Roman"/>
        </w:rPr>
        <w:t xml:space="preserve"> for purposes of monitoring impact of policy and to detect perverse incentives, </w:t>
      </w:r>
      <w:r w:rsidR="00AD1DDA">
        <w:rPr>
          <w:rFonts w:ascii="Times New Roman" w:hAnsi="Times New Roman"/>
        </w:rPr>
        <w:t>w</w:t>
      </w:r>
      <w:r w:rsidR="003F6A69">
        <w:rPr>
          <w:rFonts w:ascii="Times New Roman" w:hAnsi="Times New Roman"/>
        </w:rPr>
        <w:t xml:space="preserve">e recommend a </w:t>
      </w:r>
      <w:r w:rsidR="00AD1DDA">
        <w:rPr>
          <w:rFonts w:ascii="Times New Roman" w:hAnsi="Times New Roman"/>
        </w:rPr>
        <w:t xml:space="preserve">financial data base driven, </w:t>
      </w:r>
      <w:r w:rsidR="003F6A69">
        <w:rPr>
          <w:rFonts w:ascii="Times New Roman" w:hAnsi="Times New Roman"/>
        </w:rPr>
        <w:t xml:space="preserve">constructive or computational </w:t>
      </w:r>
      <w:r w:rsidR="007D3A61">
        <w:rPr>
          <w:rFonts w:ascii="Times New Roman" w:hAnsi="Times New Roman"/>
        </w:rPr>
        <w:t>modelling</w:t>
      </w:r>
      <w:r w:rsidR="003F6A69">
        <w:rPr>
          <w:rFonts w:ascii="Times New Roman" w:hAnsi="Times New Roman"/>
        </w:rPr>
        <w:t xml:space="preserve"> of strategies, regulatory frameworks and</w:t>
      </w:r>
      <w:r w:rsidR="007D3A61">
        <w:rPr>
          <w:rFonts w:ascii="Times New Roman" w:hAnsi="Times New Roman"/>
        </w:rPr>
        <w:t xml:space="preserve"> the analysis of the</w:t>
      </w:r>
      <w:r w:rsidR="003F6A69">
        <w:rPr>
          <w:rFonts w:ascii="Times New Roman" w:hAnsi="Times New Roman"/>
        </w:rPr>
        <w:t xml:space="preserve"> stability of financial systems </w:t>
      </w:r>
      <w:r w:rsidR="00705ABE">
        <w:rPr>
          <w:rFonts w:ascii="Times New Roman" w:hAnsi="Times New Roman"/>
        </w:rPr>
        <w:t xml:space="preserve">done </w:t>
      </w:r>
      <w:r w:rsidR="003F6A69">
        <w:rPr>
          <w:rFonts w:ascii="Times New Roman" w:hAnsi="Times New Roman"/>
        </w:rPr>
        <w:t xml:space="preserve">in terms of network stability.  </w:t>
      </w:r>
      <w:r>
        <w:rPr>
          <w:rFonts w:ascii="Times New Roman" w:hAnsi="Times New Roman"/>
        </w:rPr>
        <w:t xml:space="preserve">  </w:t>
      </w:r>
    </w:p>
    <w:p w:rsidR="006345F4" w:rsidRPr="00623DB5" w:rsidRDefault="0035395B" w:rsidP="00994DC2">
      <w:pPr>
        <w:pStyle w:val="Heading2"/>
        <w:numPr>
          <w:ilvl w:val="0"/>
          <w:numId w:val="0"/>
        </w:numPr>
        <w:spacing w:line="360" w:lineRule="auto"/>
        <w:ind w:left="576" w:hanging="576"/>
        <w:rPr>
          <w:rFonts w:ascii="Times New Roman" w:hAnsi="Times New Roman"/>
          <w:i w:val="0"/>
          <w:sz w:val="22"/>
          <w:szCs w:val="22"/>
        </w:rPr>
      </w:pPr>
      <w:r w:rsidRPr="00623DB5">
        <w:rPr>
          <w:rFonts w:ascii="Times New Roman" w:hAnsi="Times New Roman"/>
          <w:i w:val="0"/>
          <w:sz w:val="22"/>
          <w:szCs w:val="22"/>
        </w:rPr>
        <w:t>References</w:t>
      </w:r>
    </w:p>
    <w:p w:rsidR="004D2069" w:rsidRPr="008065C4" w:rsidRDefault="00CE3386" w:rsidP="008065C4">
      <w:pPr>
        <w:spacing w:line="360" w:lineRule="auto"/>
        <w:rPr>
          <w:rFonts w:ascii="Times New Roman" w:hAnsi="Times New Roman"/>
        </w:rPr>
      </w:pPr>
      <w:proofErr w:type="spellStart"/>
      <w:r w:rsidRPr="00B50939">
        <w:rPr>
          <w:rFonts w:ascii="Times New Roman" w:hAnsi="Times New Roman"/>
        </w:rPr>
        <w:t>Acharya</w:t>
      </w:r>
      <w:proofErr w:type="spellEnd"/>
      <w:r w:rsidRPr="00B50939">
        <w:rPr>
          <w:rFonts w:ascii="Times New Roman" w:hAnsi="Times New Roman"/>
        </w:rPr>
        <w:t xml:space="preserve">, V. </w:t>
      </w:r>
      <w:r w:rsidR="00475364">
        <w:rPr>
          <w:rFonts w:ascii="Times New Roman" w:hAnsi="Times New Roman"/>
        </w:rPr>
        <w:t>&amp;</w:t>
      </w:r>
      <w:r w:rsidRPr="00B50939">
        <w:rPr>
          <w:rFonts w:ascii="Times New Roman" w:hAnsi="Times New Roman"/>
        </w:rPr>
        <w:t> Richardson, M.</w:t>
      </w:r>
      <w:r w:rsidR="002A250E">
        <w:rPr>
          <w:rFonts w:ascii="Times New Roman" w:hAnsi="Times New Roman"/>
        </w:rPr>
        <w:t xml:space="preserve"> </w:t>
      </w:r>
      <w:r w:rsidRPr="00B50939">
        <w:rPr>
          <w:rFonts w:ascii="Times New Roman" w:hAnsi="Times New Roman"/>
        </w:rPr>
        <w:t>(2010) “Causes of the Financial Crisis’, Cr</w:t>
      </w:r>
      <w:r w:rsidR="00893880" w:rsidRPr="00B50939">
        <w:rPr>
          <w:rFonts w:ascii="Times New Roman" w:hAnsi="Times New Roman"/>
        </w:rPr>
        <w:t>itical Review, 21:2, 195 – 210</w:t>
      </w:r>
      <w:proofErr w:type="gramStart"/>
      <w:r w:rsidR="00893880" w:rsidRPr="00B50939">
        <w:rPr>
          <w:rFonts w:ascii="Times New Roman" w:hAnsi="Times New Roman"/>
        </w:rPr>
        <w:t>.</w:t>
      </w:r>
      <w:proofErr w:type="gramEnd"/>
      <w:r w:rsidR="00893880" w:rsidRPr="00B50939">
        <w:rPr>
          <w:rFonts w:ascii="Times New Roman" w:hAnsi="Times New Roman"/>
        </w:rPr>
        <w:br/>
      </w:r>
      <w:proofErr w:type="spellStart"/>
      <w:r w:rsidRPr="00B50939">
        <w:rPr>
          <w:rFonts w:ascii="Times New Roman" w:hAnsi="Times New Roman"/>
        </w:rPr>
        <w:t>Alessandri,P</w:t>
      </w:r>
      <w:proofErr w:type="spellEnd"/>
      <w:r w:rsidRPr="00B50939">
        <w:rPr>
          <w:rFonts w:ascii="Times New Roman" w:hAnsi="Times New Roman"/>
        </w:rPr>
        <w:t xml:space="preserve">. </w:t>
      </w:r>
      <w:r w:rsidR="00475364">
        <w:rPr>
          <w:rFonts w:ascii="Times New Roman" w:hAnsi="Times New Roman"/>
        </w:rPr>
        <w:t>&amp;</w:t>
      </w:r>
      <w:r w:rsidRPr="00B50939">
        <w:rPr>
          <w:rFonts w:ascii="Times New Roman" w:hAnsi="Times New Roman"/>
        </w:rPr>
        <w:t xml:space="preserve"> Haldane A.(2009)  “Banking on the state”, Paper based on presentation at the Federal Reserve Bank of Chicago, 12 International Banking Conference.</w:t>
      </w:r>
      <w:r w:rsidR="00893880" w:rsidRPr="00B50939">
        <w:rPr>
          <w:rFonts w:ascii="Times New Roman" w:hAnsi="Times New Roman"/>
        </w:rPr>
        <w:br/>
      </w:r>
      <w:r w:rsidR="003E6D37" w:rsidRPr="00B50939">
        <w:rPr>
          <w:rFonts w:ascii="Times New Roman" w:hAnsi="Times New Roman"/>
          <w:lang w:eastAsia="en-GB"/>
        </w:rPr>
        <w:t>Blundell-</w:t>
      </w:r>
      <w:proofErr w:type="spellStart"/>
      <w:r w:rsidR="003E6D37" w:rsidRPr="00B50939">
        <w:rPr>
          <w:rFonts w:ascii="Times New Roman" w:hAnsi="Times New Roman"/>
          <w:lang w:eastAsia="en-GB"/>
        </w:rPr>
        <w:t>Wignall</w:t>
      </w:r>
      <w:proofErr w:type="spellEnd"/>
      <w:r w:rsidR="003E6D37" w:rsidRPr="00B50939">
        <w:rPr>
          <w:rFonts w:ascii="Times New Roman" w:hAnsi="Times New Roman"/>
          <w:lang w:eastAsia="en-GB"/>
        </w:rPr>
        <w:t xml:space="preserve"> </w:t>
      </w:r>
      <w:r w:rsidR="00142778" w:rsidRPr="00B50939">
        <w:rPr>
          <w:rFonts w:ascii="Times New Roman" w:hAnsi="Times New Roman"/>
          <w:lang w:eastAsia="en-GB"/>
        </w:rPr>
        <w:t xml:space="preserve">A. </w:t>
      </w:r>
      <w:r w:rsidR="00475364">
        <w:rPr>
          <w:rFonts w:ascii="Times New Roman" w:hAnsi="Times New Roman"/>
          <w:lang w:eastAsia="en-GB"/>
        </w:rPr>
        <w:t>&amp;</w:t>
      </w:r>
      <w:r w:rsidR="003E6D37" w:rsidRPr="00B50939">
        <w:rPr>
          <w:rFonts w:ascii="Times New Roman" w:hAnsi="Times New Roman"/>
          <w:lang w:eastAsia="en-GB"/>
        </w:rPr>
        <w:t xml:space="preserve"> </w:t>
      </w:r>
      <w:r w:rsidR="00142778" w:rsidRPr="00B50939">
        <w:rPr>
          <w:rFonts w:ascii="Times New Roman" w:hAnsi="Times New Roman"/>
          <w:lang w:eastAsia="en-GB"/>
        </w:rPr>
        <w:t>A</w:t>
      </w:r>
      <w:r w:rsidR="003E6D37" w:rsidRPr="00B50939">
        <w:rPr>
          <w:rFonts w:ascii="Times New Roman" w:hAnsi="Times New Roman"/>
          <w:lang w:eastAsia="en-GB"/>
        </w:rPr>
        <w:t xml:space="preserve">tkinson </w:t>
      </w:r>
      <w:r w:rsidR="00142778" w:rsidRPr="00B50939">
        <w:rPr>
          <w:rFonts w:ascii="Times New Roman" w:hAnsi="Times New Roman"/>
          <w:lang w:eastAsia="en-GB"/>
        </w:rPr>
        <w:t>P.</w:t>
      </w:r>
      <w:r w:rsidR="003E6D37" w:rsidRPr="00B50939">
        <w:rPr>
          <w:rFonts w:ascii="Times New Roman" w:hAnsi="Times New Roman"/>
          <w:lang w:eastAsia="en-GB"/>
        </w:rPr>
        <w:t>(2008), “The Subprime Crisis: Causal Distortions and</w:t>
      </w:r>
      <w:r w:rsidR="00893880" w:rsidRPr="00B50939">
        <w:rPr>
          <w:rFonts w:ascii="Times New Roman" w:hAnsi="Times New Roman"/>
          <w:lang w:eastAsia="en-GB"/>
        </w:rPr>
        <w:t xml:space="preserve"> </w:t>
      </w:r>
      <w:r w:rsidR="003E6D37" w:rsidRPr="00B50939">
        <w:rPr>
          <w:rFonts w:ascii="Times New Roman" w:hAnsi="Times New Roman"/>
          <w:lang w:eastAsia="en-GB"/>
        </w:rPr>
        <w:t xml:space="preserve">Regulatory Reform”, in: Paul </w:t>
      </w:r>
      <w:proofErr w:type="spellStart"/>
      <w:r w:rsidR="003E6D37" w:rsidRPr="00B50939">
        <w:rPr>
          <w:rFonts w:ascii="Times New Roman" w:hAnsi="Times New Roman"/>
          <w:lang w:eastAsia="en-GB"/>
        </w:rPr>
        <w:t>Bloxham</w:t>
      </w:r>
      <w:proofErr w:type="spellEnd"/>
      <w:r w:rsidR="003E6D37" w:rsidRPr="00B50939">
        <w:rPr>
          <w:rFonts w:ascii="Times New Roman" w:hAnsi="Times New Roman"/>
          <w:lang w:eastAsia="en-GB"/>
        </w:rPr>
        <w:t xml:space="preserve"> and Christopher Kent, Lessons from the Financial Turmoil</w:t>
      </w:r>
      <w:r w:rsidR="006641C6" w:rsidRPr="00B50939">
        <w:rPr>
          <w:rFonts w:ascii="Times New Roman" w:hAnsi="Times New Roman"/>
          <w:lang w:eastAsia="en-GB"/>
        </w:rPr>
        <w:t xml:space="preserve"> </w:t>
      </w:r>
      <w:r w:rsidR="003E6D37" w:rsidRPr="00B50939">
        <w:rPr>
          <w:rFonts w:ascii="Times New Roman" w:hAnsi="Times New Roman"/>
          <w:lang w:eastAsia="en-GB"/>
        </w:rPr>
        <w:t>of 2007 and 2008, Proceedings of a Conference held at the H.C. Coombs Centre for Financial</w:t>
      </w:r>
      <w:r w:rsidR="006641C6" w:rsidRPr="00B50939">
        <w:rPr>
          <w:rFonts w:ascii="Times New Roman" w:hAnsi="Times New Roman"/>
          <w:lang w:eastAsia="en-GB"/>
        </w:rPr>
        <w:t xml:space="preserve"> </w:t>
      </w:r>
      <w:r w:rsidR="003E6D37" w:rsidRPr="00B50939">
        <w:rPr>
          <w:rFonts w:ascii="Times New Roman" w:hAnsi="Times New Roman"/>
          <w:lang w:eastAsia="en-GB"/>
        </w:rPr>
        <w:t xml:space="preserve">Studies, </w:t>
      </w:r>
      <w:proofErr w:type="spellStart"/>
      <w:r w:rsidR="003E6D37" w:rsidRPr="00B50939">
        <w:rPr>
          <w:rFonts w:ascii="Times New Roman" w:hAnsi="Times New Roman"/>
          <w:lang w:eastAsia="en-GB"/>
        </w:rPr>
        <w:t>Kirribilli</w:t>
      </w:r>
      <w:proofErr w:type="spellEnd"/>
      <w:r w:rsidR="003E6D37" w:rsidRPr="00B50939">
        <w:rPr>
          <w:rFonts w:ascii="Times New Roman" w:hAnsi="Times New Roman"/>
          <w:lang w:eastAsia="en-GB"/>
        </w:rPr>
        <w:t>, on 14-15 July 2008; Reserve Bank of Australia.</w:t>
      </w:r>
      <w:r w:rsidR="00893880" w:rsidRPr="00B50939">
        <w:rPr>
          <w:rFonts w:ascii="Times New Roman" w:hAnsi="Times New Roman"/>
          <w:lang w:eastAsia="en-GB"/>
        </w:rPr>
        <w:br/>
      </w:r>
      <w:proofErr w:type="spellStart"/>
      <w:r w:rsidR="00BA17AB" w:rsidRPr="00B50939">
        <w:rPr>
          <w:rFonts w:ascii="Times New Roman" w:hAnsi="Times New Roman"/>
          <w:color w:val="000000"/>
        </w:rPr>
        <w:t>Balakrishnan</w:t>
      </w:r>
      <w:proofErr w:type="spellEnd"/>
      <w:r w:rsidR="00302995">
        <w:rPr>
          <w:rFonts w:ascii="Times New Roman" w:hAnsi="Times New Roman"/>
          <w:color w:val="000000"/>
        </w:rPr>
        <w:t>,</w:t>
      </w:r>
      <w:r w:rsidR="00BA17AB" w:rsidRPr="00B50939">
        <w:rPr>
          <w:rFonts w:ascii="Times New Roman" w:hAnsi="Times New Roman"/>
          <w:color w:val="000000"/>
        </w:rPr>
        <w:t xml:space="preserve"> </w:t>
      </w:r>
      <w:r w:rsidR="00302995">
        <w:rPr>
          <w:rFonts w:ascii="Times New Roman" w:hAnsi="Times New Roman"/>
          <w:color w:val="000000"/>
        </w:rPr>
        <w:t>S</w:t>
      </w:r>
      <w:r w:rsidR="00BA17AB" w:rsidRPr="00B50939">
        <w:rPr>
          <w:rFonts w:ascii="Times New Roman" w:hAnsi="Times New Roman"/>
          <w:color w:val="000000"/>
        </w:rPr>
        <w:t>., Chu</w:t>
      </w:r>
      <w:r w:rsidR="00302995">
        <w:rPr>
          <w:rFonts w:ascii="Times New Roman" w:hAnsi="Times New Roman"/>
          <w:color w:val="000000"/>
        </w:rPr>
        <w:t xml:space="preserve">, </w:t>
      </w:r>
      <w:r w:rsidR="00302995" w:rsidRPr="00B50939">
        <w:rPr>
          <w:rFonts w:ascii="Times New Roman" w:hAnsi="Times New Roman"/>
          <w:color w:val="000000"/>
        </w:rPr>
        <w:t>V.</w:t>
      </w:r>
      <w:r w:rsidR="00BA17AB" w:rsidRPr="00B50939">
        <w:rPr>
          <w:rFonts w:ascii="Times New Roman" w:hAnsi="Times New Roman"/>
          <w:color w:val="000000"/>
        </w:rPr>
        <w:t xml:space="preserve">, Hernandez, </w:t>
      </w:r>
      <w:r w:rsidR="00302995" w:rsidRPr="00B50939">
        <w:rPr>
          <w:rFonts w:ascii="Times New Roman" w:hAnsi="Times New Roman"/>
          <w:color w:val="000000"/>
        </w:rPr>
        <w:t>M.</w:t>
      </w:r>
      <w:r w:rsidR="00302995">
        <w:rPr>
          <w:rFonts w:ascii="Times New Roman" w:hAnsi="Times New Roman"/>
          <w:color w:val="000000"/>
        </w:rPr>
        <w:t xml:space="preserve">, </w:t>
      </w:r>
      <w:r w:rsidR="00BA17AB" w:rsidRPr="00B50939">
        <w:rPr>
          <w:rFonts w:ascii="Times New Roman" w:hAnsi="Times New Roman"/>
          <w:color w:val="000000"/>
        </w:rPr>
        <w:t>Ho</w:t>
      </w:r>
      <w:r w:rsidR="00302995">
        <w:rPr>
          <w:rFonts w:ascii="Times New Roman" w:hAnsi="Times New Roman"/>
          <w:color w:val="000000"/>
        </w:rPr>
        <w:t xml:space="preserve">, </w:t>
      </w:r>
      <w:r w:rsidR="00302995" w:rsidRPr="00B50939">
        <w:rPr>
          <w:rFonts w:ascii="Times New Roman" w:hAnsi="Times New Roman"/>
          <w:color w:val="000000"/>
        </w:rPr>
        <w:t>H.</w:t>
      </w:r>
      <w:r w:rsidR="00BA17AB" w:rsidRPr="00B50939">
        <w:rPr>
          <w:rFonts w:ascii="Times New Roman" w:hAnsi="Times New Roman"/>
          <w:color w:val="000000"/>
        </w:rPr>
        <w:t xml:space="preserve">, </w:t>
      </w:r>
      <w:proofErr w:type="spellStart"/>
      <w:r w:rsidR="00BA17AB" w:rsidRPr="00B50939">
        <w:rPr>
          <w:rFonts w:ascii="Times New Roman" w:hAnsi="Times New Roman"/>
          <w:color w:val="000000"/>
        </w:rPr>
        <w:t>Krishnamuthy</w:t>
      </w:r>
      <w:proofErr w:type="spellEnd"/>
      <w:r w:rsidR="00BA17AB" w:rsidRPr="00B50939">
        <w:rPr>
          <w:rFonts w:ascii="Times New Roman" w:hAnsi="Times New Roman"/>
          <w:color w:val="000000"/>
        </w:rPr>
        <w:t>,</w:t>
      </w:r>
      <w:r w:rsidR="00302995">
        <w:rPr>
          <w:rFonts w:ascii="Times New Roman" w:hAnsi="Times New Roman"/>
          <w:color w:val="000000"/>
        </w:rPr>
        <w:t xml:space="preserve"> </w:t>
      </w:r>
      <w:r w:rsidR="00302995" w:rsidRPr="00B50939">
        <w:rPr>
          <w:rFonts w:ascii="Times New Roman" w:hAnsi="Times New Roman"/>
          <w:color w:val="000000"/>
        </w:rPr>
        <w:t>R.</w:t>
      </w:r>
      <w:r w:rsidR="00302995">
        <w:rPr>
          <w:rFonts w:ascii="Times New Roman" w:hAnsi="Times New Roman"/>
          <w:color w:val="000000"/>
        </w:rPr>
        <w:t xml:space="preserve">, </w:t>
      </w:r>
      <w:r w:rsidR="00BA17AB" w:rsidRPr="00B50939">
        <w:rPr>
          <w:rFonts w:ascii="Times New Roman" w:hAnsi="Times New Roman"/>
          <w:color w:val="000000"/>
        </w:rPr>
        <w:t>Liu,</w:t>
      </w:r>
      <w:r w:rsidR="00302995" w:rsidRPr="00B50939">
        <w:rPr>
          <w:rFonts w:ascii="Times New Roman" w:hAnsi="Times New Roman"/>
          <w:color w:val="000000"/>
        </w:rPr>
        <w:t xml:space="preserve">  S.</w:t>
      </w:r>
      <w:r w:rsidR="00302995">
        <w:rPr>
          <w:rFonts w:ascii="Times New Roman" w:hAnsi="Times New Roman"/>
          <w:color w:val="000000"/>
        </w:rPr>
        <w:t xml:space="preserve">, </w:t>
      </w:r>
      <w:r w:rsidR="00BA17AB" w:rsidRPr="00B50939">
        <w:rPr>
          <w:rFonts w:ascii="Times New Roman" w:hAnsi="Times New Roman"/>
          <w:color w:val="000000"/>
        </w:rPr>
        <w:t>Pieper,</w:t>
      </w:r>
      <w:r w:rsidR="00302995">
        <w:rPr>
          <w:rFonts w:ascii="Times New Roman" w:hAnsi="Times New Roman"/>
          <w:color w:val="000000"/>
        </w:rPr>
        <w:t xml:space="preserve"> J., </w:t>
      </w:r>
      <w:r w:rsidR="00BA17AB" w:rsidRPr="00B50939">
        <w:rPr>
          <w:rFonts w:ascii="Times New Roman" w:hAnsi="Times New Roman"/>
          <w:color w:val="000000"/>
        </w:rPr>
        <w:t xml:space="preserve"> Pierce,</w:t>
      </w:r>
      <w:r w:rsidR="00302995">
        <w:rPr>
          <w:rFonts w:ascii="Times New Roman" w:hAnsi="Times New Roman"/>
          <w:color w:val="000000"/>
        </w:rPr>
        <w:t xml:space="preserve"> </w:t>
      </w:r>
      <w:r w:rsidR="00302995" w:rsidRPr="00B50939">
        <w:rPr>
          <w:rFonts w:ascii="Times New Roman" w:hAnsi="Times New Roman"/>
          <w:color w:val="000000"/>
        </w:rPr>
        <w:t xml:space="preserve">J. </w:t>
      </w:r>
      <w:r w:rsidR="00302995">
        <w:rPr>
          <w:rFonts w:ascii="Times New Roman" w:hAnsi="Times New Roman"/>
          <w:color w:val="000000"/>
        </w:rPr>
        <w:t>S.,</w:t>
      </w:r>
      <w:r w:rsidR="00BA17AB" w:rsidRPr="00B50939">
        <w:rPr>
          <w:rFonts w:ascii="Times New Roman" w:hAnsi="Times New Roman"/>
          <w:color w:val="000000"/>
        </w:rPr>
        <w:t xml:space="preserve"> </w:t>
      </w:r>
      <w:proofErr w:type="spellStart"/>
      <w:r w:rsidR="00BA17AB" w:rsidRPr="00B50939">
        <w:rPr>
          <w:rFonts w:ascii="Times New Roman" w:hAnsi="Times New Roman"/>
          <w:color w:val="000000"/>
        </w:rPr>
        <w:t>Popa</w:t>
      </w:r>
      <w:proofErr w:type="spellEnd"/>
      <w:r w:rsidR="00BA17AB" w:rsidRPr="00B50939">
        <w:rPr>
          <w:rFonts w:ascii="Times New Roman" w:hAnsi="Times New Roman"/>
          <w:color w:val="000000"/>
        </w:rPr>
        <w:t>,</w:t>
      </w:r>
      <w:r w:rsidR="00302995">
        <w:rPr>
          <w:rFonts w:ascii="Times New Roman" w:hAnsi="Times New Roman"/>
          <w:color w:val="000000"/>
        </w:rPr>
        <w:t xml:space="preserve"> </w:t>
      </w:r>
      <w:r w:rsidR="00302995" w:rsidRPr="00B50939">
        <w:rPr>
          <w:rFonts w:ascii="Times New Roman" w:hAnsi="Times New Roman"/>
          <w:color w:val="000000"/>
        </w:rPr>
        <w:t>L.</w:t>
      </w:r>
      <w:r w:rsidR="00302995">
        <w:rPr>
          <w:rFonts w:ascii="Times New Roman" w:hAnsi="Times New Roman"/>
          <w:color w:val="000000"/>
        </w:rPr>
        <w:t>,</w:t>
      </w:r>
      <w:r w:rsidR="00302995" w:rsidRPr="00B50939">
        <w:rPr>
          <w:rFonts w:ascii="Times New Roman" w:hAnsi="Times New Roman"/>
          <w:color w:val="000000"/>
        </w:rPr>
        <w:t xml:space="preserve"> </w:t>
      </w:r>
      <w:r w:rsidR="00BA17AB" w:rsidRPr="00B50939">
        <w:rPr>
          <w:rFonts w:ascii="Times New Roman" w:hAnsi="Times New Roman"/>
          <w:color w:val="000000"/>
        </w:rPr>
        <w:t>Robson,</w:t>
      </w:r>
      <w:r w:rsidR="00302995">
        <w:rPr>
          <w:rFonts w:ascii="Times New Roman" w:hAnsi="Times New Roman"/>
          <w:color w:val="000000"/>
        </w:rPr>
        <w:t xml:space="preserve"> </w:t>
      </w:r>
      <w:r w:rsidR="00302995" w:rsidRPr="00B50939">
        <w:rPr>
          <w:rFonts w:ascii="Times New Roman" w:hAnsi="Times New Roman"/>
          <w:color w:val="000000"/>
        </w:rPr>
        <w:t>C.</w:t>
      </w:r>
      <w:r w:rsidR="00302995">
        <w:rPr>
          <w:rFonts w:ascii="Times New Roman" w:hAnsi="Times New Roman"/>
          <w:color w:val="000000"/>
        </w:rPr>
        <w:t>,</w:t>
      </w:r>
      <w:r w:rsidR="00302995" w:rsidRPr="00B50939">
        <w:rPr>
          <w:rFonts w:ascii="Times New Roman" w:hAnsi="Times New Roman"/>
          <w:color w:val="000000"/>
        </w:rPr>
        <w:t xml:space="preserve"> </w:t>
      </w:r>
      <w:r w:rsidR="00BA17AB" w:rsidRPr="00B50939">
        <w:rPr>
          <w:rFonts w:ascii="Times New Roman" w:hAnsi="Times New Roman"/>
          <w:color w:val="000000"/>
        </w:rPr>
        <w:t xml:space="preserve"> Shi,</w:t>
      </w:r>
      <w:r w:rsidR="00302995">
        <w:rPr>
          <w:rFonts w:ascii="Times New Roman" w:hAnsi="Times New Roman"/>
          <w:color w:val="000000"/>
        </w:rPr>
        <w:t xml:space="preserve"> </w:t>
      </w:r>
      <w:r w:rsidR="00302995" w:rsidRPr="00B50939">
        <w:rPr>
          <w:rFonts w:ascii="Times New Roman" w:hAnsi="Times New Roman"/>
          <w:color w:val="000000"/>
        </w:rPr>
        <w:t>L.</w:t>
      </w:r>
      <w:r w:rsidR="00302995">
        <w:rPr>
          <w:rFonts w:ascii="Times New Roman" w:hAnsi="Times New Roman"/>
          <w:color w:val="000000"/>
        </w:rPr>
        <w:t xml:space="preserve">, </w:t>
      </w:r>
      <w:proofErr w:type="spellStart"/>
      <w:r w:rsidR="00BA17AB" w:rsidRPr="00B50939">
        <w:rPr>
          <w:rFonts w:ascii="Times New Roman" w:hAnsi="Times New Roman"/>
          <w:color w:val="000000"/>
        </w:rPr>
        <w:t>Stano</w:t>
      </w:r>
      <w:proofErr w:type="spellEnd"/>
      <w:r w:rsidR="00BA17AB" w:rsidRPr="00B50939">
        <w:rPr>
          <w:rFonts w:ascii="Times New Roman" w:hAnsi="Times New Roman"/>
          <w:color w:val="000000"/>
        </w:rPr>
        <w:t>,</w:t>
      </w:r>
      <w:r w:rsidR="00302995">
        <w:rPr>
          <w:rFonts w:ascii="Times New Roman" w:hAnsi="Times New Roman"/>
          <w:color w:val="000000"/>
        </w:rPr>
        <w:t xml:space="preserve"> </w:t>
      </w:r>
      <w:r w:rsidR="00302995" w:rsidRPr="00B50939">
        <w:rPr>
          <w:rFonts w:ascii="Times New Roman" w:hAnsi="Times New Roman"/>
          <w:color w:val="000000"/>
        </w:rPr>
        <w:t>I</w:t>
      </w:r>
      <w:r w:rsidR="00302995">
        <w:rPr>
          <w:rFonts w:ascii="Times New Roman" w:hAnsi="Times New Roman"/>
          <w:color w:val="000000"/>
        </w:rPr>
        <w:t>.,</w:t>
      </w:r>
      <w:r w:rsidR="00302995" w:rsidRPr="00B50939">
        <w:rPr>
          <w:rFonts w:ascii="Times New Roman" w:hAnsi="Times New Roman"/>
          <w:color w:val="000000"/>
        </w:rPr>
        <w:t xml:space="preserve"> </w:t>
      </w:r>
      <w:r w:rsidR="00BA17AB" w:rsidRPr="00B50939">
        <w:rPr>
          <w:rFonts w:ascii="Times New Roman" w:hAnsi="Times New Roman"/>
          <w:color w:val="000000"/>
        </w:rPr>
        <w:t>Ting,</w:t>
      </w:r>
      <w:r w:rsidR="00302995">
        <w:rPr>
          <w:rFonts w:ascii="Times New Roman" w:hAnsi="Times New Roman"/>
          <w:color w:val="000000"/>
        </w:rPr>
        <w:t xml:space="preserve"> </w:t>
      </w:r>
      <w:r w:rsidR="00302995" w:rsidRPr="00B50939">
        <w:rPr>
          <w:rFonts w:ascii="Times New Roman" w:hAnsi="Times New Roman"/>
          <w:color w:val="000000"/>
        </w:rPr>
        <w:t>E.</w:t>
      </w:r>
      <w:r w:rsidR="00302995">
        <w:rPr>
          <w:rFonts w:ascii="Times New Roman" w:hAnsi="Times New Roman"/>
          <w:color w:val="000000"/>
        </w:rPr>
        <w:t>,</w:t>
      </w:r>
      <w:r w:rsidR="00302995" w:rsidRPr="00B50939">
        <w:rPr>
          <w:rFonts w:ascii="Times New Roman" w:hAnsi="Times New Roman"/>
          <w:color w:val="000000"/>
        </w:rPr>
        <w:t xml:space="preserve"> </w:t>
      </w:r>
      <w:proofErr w:type="spellStart"/>
      <w:r w:rsidR="00BA17AB" w:rsidRPr="00B50939">
        <w:rPr>
          <w:rFonts w:ascii="Times New Roman" w:hAnsi="Times New Roman"/>
          <w:color w:val="000000"/>
        </w:rPr>
        <w:t>Vaithyanathan</w:t>
      </w:r>
      <w:proofErr w:type="spellEnd"/>
      <w:r w:rsidR="00302995">
        <w:rPr>
          <w:rFonts w:ascii="Times New Roman" w:hAnsi="Times New Roman"/>
          <w:color w:val="000000"/>
        </w:rPr>
        <w:t xml:space="preserve"> </w:t>
      </w:r>
      <w:r w:rsidR="00302995" w:rsidRPr="00B50939">
        <w:rPr>
          <w:rFonts w:ascii="Times New Roman" w:hAnsi="Times New Roman"/>
          <w:color w:val="000000"/>
        </w:rPr>
        <w:t>S.</w:t>
      </w:r>
      <w:r w:rsidR="00BA17AB" w:rsidRPr="00B50939">
        <w:rPr>
          <w:rFonts w:ascii="Times New Roman" w:hAnsi="Times New Roman"/>
          <w:color w:val="000000"/>
        </w:rPr>
        <w:t>,</w:t>
      </w:r>
      <w:r w:rsidR="00302995">
        <w:rPr>
          <w:rFonts w:ascii="Times New Roman" w:hAnsi="Times New Roman"/>
          <w:color w:val="000000"/>
        </w:rPr>
        <w:t xml:space="preserve"> &amp;  </w:t>
      </w:r>
      <w:r w:rsidR="00BA17AB" w:rsidRPr="00B50939">
        <w:rPr>
          <w:rFonts w:ascii="Times New Roman" w:hAnsi="Times New Roman"/>
          <w:color w:val="000000"/>
        </w:rPr>
        <w:t>Yang,</w:t>
      </w:r>
      <w:r w:rsidR="00302995">
        <w:rPr>
          <w:rFonts w:ascii="Times New Roman" w:hAnsi="Times New Roman"/>
          <w:color w:val="000000"/>
        </w:rPr>
        <w:t xml:space="preserve"> </w:t>
      </w:r>
      <w:r w:rsidR="00302995" w:rsidRPr="00B50939">
        <w:rPr>
          <w:rFonts w:ascii="Times New Roman" w:hAnsi="Times New Roman"/>
          <w:color w:val="000000"/>
        </w:rPr>
        <w:t xml:space="preserve">H. </w:t>
      </w:r>
      <w:r w:rsidR="00302995">
        <w:rPr>
          <w:rFonts w:ascii="Times New Roman" w:hAnsi="Times New Roman"/>
          <w:color w:val="000000"/>
        </w:rPr>
        <w:t xml:space="preserve"> </w:t>
      </w:r>
      <w:r w:rsidR="00BA17AB" w:rsidRPr="00B50939">
        <w:rPr>
          <w:rFonts w:ascii="Times New Roman" w:hAnsi="Times New Roman"/>
          <w:color w:val="000000"/>
        </w:rPr>
        <w:t>(2010</w:t>
      </w:r>
      <w:r w:rsidR="00893880" w:rsidRPr="00B50939">
        <w:rPr>
          <w:rFonts w:ascii="Times New Roman" w:hAnsi="Times New Roman"/>
          <w:color w:val="000000"/>
        </w:rPr>
        <w:t xml:space="preserve">) </w:t>
      </w:r>
      <w:proofErr w:type="gramStart"/>
      <w:r w:rsidR="00893880" w:rsidRPr="00B50939">
        <w:rPr>
          <w:rFonts w:ascii="Times New Roman" w:hAnsi="Times New Roman"/>
          <w:color w:val="000000"/>
        </w:rPr>
        <w:t>“</w:t>
      </w:r>
      <w:r w:rsidR="00BA17AB" w:rsidRPr="00B50939">
        <w:rPr>
          <w:rFonts w:ascii="Times New Roman" w:hAnsi="Times New Roman"/>
          <w:i/>
          <w:color w:val="000000"/>
        </w:rPr>
        <w:t xml:space="preserve"> </w:t>
      </w:r>
      <w:r w:rsidR="00BA17AB" w:rsidRPr="00B50939">
        <w:rPr>
          <w:rFonts w:ascii="Times New Roman" w:hAnsi="Times New Roman"/>
          <w:bCs/>
          <w:lang w:eastAsia="en-GB"/>
        </w:rPr>
        <w:t>Midas</w:t>
      </w:r>
      <w:proofErr w:type="gramEnd"/>
      <w:r w:rsidR="00BA17AB" w:rsidRPr="00B50939">
        <w:rPr>
          <w:rFonts w:ascii="Times New Roman" w:hAnsi="Times New Roman"/>
          <w:bCs/>
          <w:lang w:eastAsia="en-GB"/>
        </w:rPr>
        <w:t>: Integrating Public Financial Data</w:t>
      </w:r>
      <w:r w:rsidR="00893880" w:rsidRPr="00B50939">
        <w:rPr>
          <w:rFonts w:ascii="Times New Roman" w:hAnsi="Times New Roman"/>
          <w:bCs/>
          <w:lang w:eastAsia="en-GB"/>
        </w:rPr>
        <w:t>”</w:t>
      </w:r>
      <w:r w:rsidR="00BA17AB" w:rsidRPr="00B50939">
        <w:rPr>
          <w:rFonts w:ascii="Times New Roman" w:hAnsi="Times New Roman"/>
          <w:bCs/>
          <w:i/>
          <w:lang w:eastAsia="en-GB"/>
        </w:rPr>
        <w:t xml:space="preserve">, </w:t>
      </w:r>
      <w:r w:rsidR="00BA17AB" w:rsidRPr="00B50939">
        <w:rPr>
          <w:rFonts w:ascii="Times New Roman" w:hAnsi="Times New Roman"/>
          <w:i/>
          <w:color w:val="000000"/>
        </w:rPr>
        <w:t xml:space="preserve"> Proceedings of the 2010 international conference on Management of </w:t>
      </w:r>
      <w:proofErr w:type="spellStart"/>
      <w:r w:rsidR="00BA17AB" w:rsidRPr="00B50939">
        <w:rPr>
          <w:rFonts w:ascii="Times New Roman" w:hAnsi="Times New Roman"/>
          <w:i/>
          <w:color w:val="000000"/>
        </w:rPr>
        <w:t>data</w:t>
      </w:r>
      <w:r w:rsidR="00893880" w:rsidRPr="00B50939">
        <w:rPr>
          <w:rFonts w:ascii="Times New Roman" w:hAnsi="Times New Roman"/>
          <w:color w:val="000000"/>
        </w:rPr>
        <w:t>.</w:t>
      </w:r>
      <w:proofErr w:type="spellEnd"/>
      <w:r w:rsidR="000D3B6E">
        <w:rPr>
          <w:rFonts w:ascii="Times New Roman" w:hAnsi="Times New Roman"/>
        </w:rPr>
        <w:br/>
      </w:r>
      <w:proofErr w:type="spellStart"/>
      <w:r w:rsidRPr="00B50939">
        <w:rPr>
          <w:rFonts w:ascii="Times New Roman" w:hAnsi="Times New Roman"/>
        </w:rPr>
        <w:t>Brunnermeier</w:t>
      </w:r>
      <w:proofErr w:type="spellEnd"/>
      <w:r w:rsidRPr="00B50939">
        <w:rPr>
          <w:rFonts w:ascii="Times New Roman" w:hAnsi="Times New Roman"/>
        </w:rPr>
        <w:t xml:space="preserve">, M., A. Crockett, C. </w:t>
      </w:r>
      <w:proofErr w:type="spellStart"/>
      <w:r w:rsidRPr="00B50939">
        <w:rPr>
          <w:rFonts w:ascii="Times New Roman" w:hAnsi="Times New Roman"/>
        </w:rPr>
        <w:t>Goodhart</w:t>
      </w:r>
      <w:proofErr w:type="spellEnd"/>
      <w:r w:rsidRPr="00B50939">
        <w:rPr>
          <w:rFonts w:ascii="Times New Roman" w:hAnsi="Times New Roman"/>
        </w:rPr>
        <w:t xml:space="preserve">, A. </w:t>
      </w:r>
      <w:proofErr w:type="spellStart"/>
      <w:r w:rsidRPr="00B50939">
        <w:rPr>
          <w:rFonts w:ascii="Times New Roman" w:hAnsi="Times New Roman"/>
        </w:rPr>
        <w:t>Persaud</w:t>
      </w:r>
      <w:proofErr w:type="spellEnd"/>
      <w:r w:rsidRPr="00B50939">
        <w:rPr>
          <w:rFonts w:ascii="Times New Roman" w:hAnsi="Times New Roman"/>
        </w:rPr>
        <w:t xml:space="preserve"> </w:t>
      </w:r>
      <w:r w:rsidR="00475364">
        <w:rPr>
          <w:rFonts w:ascii="Times New Roman" w:hAnsi="Times New Roman"/>
        </w:rPr>
        <w:t>&amp;</w:t>
      </w:r>
      <w:r w:rsidRPr="00B50939">
        <w:rPr>
          <w:rFonts w:ascii="Times New Roman" w:hAnsi="Times New Roman"/>
        </w:rPr>
        <w:t xml:space="preserve"> H. Shin, (2009), “The fundamental principles of financial regulation”, Geneva Reports on the World Economy 11, International </w:t>
      </w:r>
      <w:proofErr w:type="spellStart"/>
      <w:r w:rsidRPr="00B50939">
        <w:rPr>
          <w:rFonts w:ascii="Times New Roman" w:hAnsi="Times New Roman"/>
        </w:rPr>
        <w:t>Center</w:t>
      </w:r>
      <w:proofErr w:type="spellEnd"/>
      <w:r w:rsidRPr="00B50939">
        <w:rPr>
          <w:rFonts w:ascii="Times New Roman" w:hAnsi="Times New Roman"/>
        </w:rPr>
        <w:t xml:space="preserve"> for Money and Banking Studies.</w:t>
      </w:r>
      <w:r w:rsidRPr="00B50939">
        <w:rPr>
          <w:rFonts w:ascii="Times New Roman" w:hAnsi="Times New Roman"/>
        </w:rPr>
        <w:br/>
        <w:t>Buchanan, M.</w:t>
      </w:r>
      <w:r w:rsidR="00BA17AB" w:rsidRPr="00B50939">
        <w:rPr>
          <w:rFonts w:ascii="Times New Roman" w:hAnsi="Times New Roman"/>
        </w:rPr>
        <w:t xml:space="preserve"> </w:t>
      </w:r>
      <w:r w:rsidR="00475364" w:rsidRPr="00B50939">
        <w:rPr>
          <w:rFonts w:ascii="Times New Roman" w:hAnsi="Times New Roman"/>
        </w:rPr>
        <w:t>(20</w:t>
      </w:r>
      <w:r w:rsidR="00913DB3">
        <w:rPr>
          <w:rFonts w:ascii="Times New Roman" w:hAnsi="Times New Roman"/>
        </w:rPr>
        <w:t>09</w:t>
      </w:r>
      <w:r w:rsidR="00BA17AB" w:rsidRPr="00B50939">
        <w:rPr>
          <w:rFonts w:ascii="Times New Roman" w:hAnsi="Times New Roman"/>
        </w:rPr>
        <w:t xml:space="preserve">) </w:t>
      </w:r>
      <w:r w:rsidRPr="00B50939">
        <w:rPr>
          <w:rFonts w:ascii="Times New Roman" w:hAnsi="Times New Roman"/>
          <w:bCs/>
        </w:rPr>
        <w:t>"Meltdown Modelling: Could Agent-Based Computer Models Prevent Another Financial Crisis?"</w:t>
      </w:r>
      <w:r w:rsidRPr="00B50939">
        <w:rPr>
          <w:rFonts w:ascii="Times New Roman" w:hAnsi="Times New Roman"/>
        </w:rPr>
        <w:t xml:space="preserve"> </w:t>
      </w:r>
      <w:r w:rsidRPr="00B50939">
        <w:rPr>
          <w:rFonts w:ascii="Times New Roman" w:hAnsi="Times New Roman"/>
          <w:i/>
          <w:iCs/>
        </w:rPr>
        <w:t>Nature</w:t>
      </w:r>
      <w:r w:rsidRPr="00B50939">
        <w:rPr>
          <w:rFonts w:ascii="Times New Roman" w:hAnsi="Times New Roman"/>
        </w:rPr>
        <w:t>, Vol. 460, August 6, 2009, 680-682.</w:t>
      </w:r>
      <w:r w:rsidRPr="00B50939">
        <w:rPr>
          <w:rFonts w:ascii="Times New Roman" w:hAnsi="Times New Roman"/>
        </w:rPr>
        <w:br/>
        <w:t>Buiter, W. (2009) “</w:t>
      </w:r>
      <w:r w:rsidRPr="00B50939">
        <w:rPr>
          <w:rFonts w:ascii="Times New Roman" w:hAnsi="Times New Roman"/>
          <w:iCs/>
        </w:rPr>
        <w:t>The u</w:t>
      </w:r>
      <w:r w:rsidR="00AD5E0F" w:rsidRPr="00B50939">
        <w:rPr>
          <w:rFonts w:ascii="Times New Roman" w:hAnsi="Times New Roman"/>
          <w:iCs/>
        </w:rPr>
        <w:t>nfortunate uselessness of most ‘</w:t>
      </w:r>
      <w:r w:rsidRPr="00B50939">
        <w:rPr>
          <w:rFonts w:ascii="Times New Roman" w:hAnsi="Times New Roman"/>
          <w:iCs/>
        </w:rPr>
        <w:t>state of the art’ academic</w:t>
      </w:r>
      <w:r w:rsidRPr="00B50939">
        <w:rPr>
          <w:rFonts w:ascii="Times New Roman" w:hAnsi="Times New Roman"/>
          <w:iCs/>
        </w:rPr>
        <w:br/>
      </w:r>
      <w:r w:rsidRPr="00B50939">
        <w:rPr>
          <w:rFonts w:ascii="Times New Roman" w:hAnsi="Times New Roman"/>
          <w:iCs/>
        </w:rPr>
        <w:lastRenderedPageBreak/>
        <w:t xml:space="preserve">monetary </w:t>
      </w:r>
      <w:proofErr w:type="gramStart"/>
      <w:r w:rsidRPr="00B50939">
        <w:rPr>
          <w:rFonts w:ascii="Times New Roman" w:hAnsi="Times New Roman"/>
          <w:iCs/>
        </w:rPr>
        <w:t>economics ”</w:t>
      </w:r>
      <w:proofErr w:type="gramEnd"/>
      <w:r w:rsidRPr="00B50939">
        <w:rPr>
          <w:rFonts w:ascii="Times New Roman" w:hAnsi="Times New Roman"/>
        </w:rPr>
        <w:t> </w:t>
      </w:r>
      <w:hyperlink r:id="rId21" w:history="1">
        <w:r w:rsidR="007D3A61" w:rsidRPr="00B50939">
          <w:rPr>
            <w:rStyle w:val="Hyperlink"/>
            <w:rFonts w:ascii="Times New Roman" w:hAnsi="Times New Roman"/>
          </w:rPr>
          <w:t>http://www.voxeu.org/index.php?q=node/3210</w:t>
        </w:r>
      </w:hyperlink>
      <w:r w:rsidRPr="00B50939">
        <w:rPr>
          <w:rFonts w:ascii="Times New Roman" w:hAnsi="Times New Roman"/>
        </w:rPr>
        <w:br/>
      </w:r>
      <w:proofErr w:type="spellStart"/>
      <w:r w:rsidRPr="00B50939">
        <w:rPr>
          <w:rFonts w:ascii="Times New Roman" w:hAnsi="Times New Roman"/>
        </w:rPr>
        <w:t>C</w:t>
      </w:r>
      <w:r w:rsidR="00F70ADA" w:rsidRPr="00B50939">
        <w:rPr>
          <w:rFonts w:ascii="Times New Roman" w:hAnsi="Times New Roman"/>
        </w:rPr>
        <w:t>annata</w:t>
      </w:r>
      <w:proofErr w:type="spellEnd"/>
      <w:r w:rsidR="00F70ADA" w:rsidRPr="00B50939">
        <w:rPr>
          <w:rFonts w:ascii="Times New Roman" w:hAnsi="Times New Roman"/>
        </w:rPr>
        <w:t xml:space="preserve"> </w:t>
      </w:r>
      <w:r w:rsidR="00475364">
        <w:rPr>
          <w:rFonts w:ascii="Times New Roman" w:hAnsi="Times New Roman"/>
        </w:rPr>
        <w:t>&amp;</w:t>
      </w:r>
      <w:r w:rsidR="00F70ADA" w:rsidRPr="00B50939">
        <w:rPr>
          <w:rFonts w:ascii="Times New Roman" w:hAnsi="Times New Roman"/>
        </w:rPr>
        <w:t xml:space="preserve"> </w:t>
      </w:r>
      <w:proofErr w:type="spellStart"/>
      <w:r w:rsidR="00F70ADA" w:rsidRPr="00B50939">
        <w:rPr>
          <w:rFonts w:ascii="Times New Roman" w:hAnsi="Times New Roman"/>
        </w:rPr>
        <w:t>Quaglianello</w:t>
      </w:r>
      <w:proofErr w:type="spellEnd"/>
      <w:r w:rsidR="00F70ADA" w:rsidRPr="00B50939">
        <w:rPr>
          <w:rFonts w:ascii="Times New Roman" w:hAnsi="Times New Roman"/>
        </w:rPr>
        <w:t xml:space="preserve"> (2009) “ The Role of Basel II in the Subprime Financial Crisis: Guilty or Not Guilty ?” </w:t>
      </w:r>
      <w:proofErr w:type="gramStart"/>
      <w:r w:rsidR="00F70ADA" w:rsidRPr="00B50939">
        <w:rPr>
          <w:rFonts w:ascii="Times New Roman" w:hAnsi="Times New Roman"/>
        </w:rPr>
        <w:t xml:space="preserve">CAREFIN Working Paper 3.09, University of </w:t>
      </w:r>
      <w:proofErr w:type="spellStart"/>
      <w:r w:rsidR="00F70ADA" w:rsidRPr="00B50939">
        <w:rPr>
          <w:rFonts w:ascii="Times New Roman" w:hAnsi="Times New Roman"/>
        </w:rPr>
        <w:t>Bocconi</w:t>
      </w:r>
      <w:proofErr w:type="spellEnd"/>
      <w:r w:rsidR="00F70ADA" w:rsidRPr="00B50939">
        <w:rPr>
          <w:rFonts w:ascii="Times New Roman" w:hAnsi="Times New Roman"/>
        </w:rPr>
        <w:t>.</w:t>
      </w:r>
      <w:proofErr w:type="gramEnd"/>
      <w:r w:rsidR="00F70ADA" w:rsidRPr="00B50939">
        <w:rPr>
          <w:rFonts w:ascii="Times New Roman" w:hAnsi="Times New Roman"/>
        </w:rPr>
        <w:t xml:space="preserve"> </w:t>
      </w:r>
      <w:r w:rsidR="007D3A61" w:rsidRPr="00B50939">
        <w:rPr>
          <w:rFonts w:ascii="Times New Roman" w:hAnsi="Times New Roman"/>
        </w:rPr>
        <w:br/>
      </w:r>
      <w:proofErr w:type="spellStart"/>
      <w:r w:rsidR="00F70ADA" w:rsidRPr="00B50939">
        <w:rPr>
          <w:rFonts w:ascii="Times New Roman" w:hAnsi="Times New Roman"/>
        </w:rPr>
        <w:t>Choudhry</w:t>
      </w:r>
      <w:proofErr w:type="spellEnd"/>
      <w:r w:rsidR="00F70ADA" w:rsidRPr="00B50939">
        <w:rPr>
          <w:rFonts w:ascii="Times New Roman" w:hAnsi="Times New Roman"/>
        </w:rPr>
        <w:t xml:space="preserve">, M. (2004), “The credit default swap basis: analysing the relationship between cash and synthetic credit markets”, Journal of Derivatives Use, Trading and Regulation, </w:t>
      </w:r>
      <w:proofErr w:type="spellStart"/>
      <w:r w:rsidR="00F70ADA" w:rsidRPr="00B50939">
        <w:rPr>
          <w:rFonts w:ascii="Times New Roman" w:hAnsi="Times New Roman"/>
        </w:rPr>
        <w:t>Vol</w:t>
      </w:r>
      <w:proofErr w:type="spellEnd"/>
      <w:r w:rsidR="00F70ADA" w:rsidRPr="00B50939">
        <w:rPr>
          <w:rFonts w:ascii="Times New Roman" w:hAnsi="Times New Roman"/>
        </w:rPr>
        <w:t xml:space="preserve"> 10 No1, 2004, pp. 8-26</w:t>
      </w:r>
      <w:r w:rsidR="007D3A61" w:rsidRPr="00B50939">
        <w:rPr>
          <w:rFonts w:ascii="Times New Roman" w:hAnsi="Times New Roman"/>
        </w:rPr>
        <w:t>.</w:t>
      </w:r>
      <w:r w:rsidR="007D3A61" w:rsidRPr="00B50939">
        <w:rPr>
          <w:rFonts w:ascii="Times New Roman" w:hAnsi="Times New Roman"/>
        </w:rPr>
        <w:br/>
      </w:r>
      <w:proofErr w:type="spellStart"/>
      <w:r w:rsidR="00F70ADA" w:rsidRPr="00B50939">
        <w:rPr>
          <w:rFonts w:ascii="Times New Roman" w:hAnsi="Times New Roman"/>
        </w:rPr>
        <w:t>Choudhry</w:t>
      </w:r>
      <w:proofErr w:type="spellEnd"/>
      <w:r w:rsidR="00F70ADA" w:rsidRPr="00B50939">
        <w:rPr>
          <w:rFonts w:ascii="Times New Roman" w:hAnsi="Times New Roman"/>
        </w:rPr>
        <w:t>, M. (2005) Further Observation on the Credit Default Swap Basis: an illustration of the impact of supply and demand in the structured finance market; YieldCurve.com (Dec 2005)</w:t>
      </w:r>
      <w:r w:rsidR="004B4735" w:rsidRPr="00B50939">
        <w:rPr>
          <w:rFonts w:ascii="Times New Roman" w:hAnsi="Times New Roman"/>
        </w:rPr>
        <w:br/>
      </w:r>
      <w:proofErr w:type="spellStart"/>
      <w:r w:rsidR="00F70ADA" w:rsidRPr="00B50939">
        <w:rPr>
          <w:rFonts w:ascii="Times New Roman" w:hAnsi="Times New Roman"/>
        </w:rPr>
        <w:t>Choudhry</w:t>
      </w:r>
      <w:proofErr w:type="spellEnd"/>
      <w:r w:rsidR="00F70ADA" w:rsidRPr="00B50939">
        <w:rPr>
          <w:rFonts w:ascii="Times New Roman" w:hAnsi="Times New Roman"/>
        </w:rPr>
        <w:t xml:space="preserve"> (2006a), The Credit Default Swap Basis: illustrating positive and negative basis arbitrage trades; YieldCurve.com</w:t>
      </w:r>
      <w:r w:rsidR="00597A3E" w:rsidRPr="00B50939">
        <w:rPr>
          <w:rFonts w:ascii="Times New Roman" w:hAnsi="Times New Roman"/>
        </w:rPr>
        <w:br/>
      </w:r>
      <w:proofErr w:type="spellStart"/>
      <w:r w:rsidR="00F70ADA" w:rsidRPr="00B50939">
        <w:rPr>
          <w:rFonts w:ascii="Times New Roman" w:hAnsi="Times New Roman"/>
        </w:rPr>
        <w:t>Choudhry</w:t>
      </w:r>
      <w:proofErr w:type="spellEnd"/>
      <w:r w:rsidR="00F70ADA" w:rsidRPr="00B50939">
        <w:rPr>
          <w:rFonts w:ascii="Times New Roman" w:hAnsi="Times New Roman"/>
        </w:rPr>
        <w:t xml:space="preserve"> (2006b), The Credit Default Swap Basis; Bloomberg Press</w:t>
      </w:r>
      <w:r w:rsidR="008065C4">
        <w:rPr>
          <w:rFonts w:ascii="Times New Roman" w:hAnsi="Times New Roman"/>
        </w:rPr>
        <w:br/>
      </w:r>
      <w:r w:rsidR="001D21E3" w:rsidRPr="008065C4">
        <w:rPr>
          <w:rFonts w:ascii="Times New Roman" w:hAnsi="Times New Roman"/>
        </w:rPr>
        <w:t xml:space="preserve">Colander D., </w:t>
      </w:r>
      <w:proofErr w:type="spellStart"/>
      <w:r w:rsidR="001D21E3" w:rsidRPr="008065C4">
        <w:rPr>
          <w:rFonts w:ascii="Times New Roman" w:hAnsi="Times New Roman"/>
        </w:rPr>
        <w:t>Howitt</w:t>
      </w:r>
      <w:proofErr w:type="spellEnd"/>
      <w:r w:rsidR="001D21E3" w:rsidRPr="008065C4">
        <w:rPr>
          <w:rFonts w:ascii="Times New Roman" w:hAnsi="Times New Roman"/>
        </w:rPr>
        <w:t xml:space="preserve"> P., </w:t>
      </w:r>
      <w:proofErr w:type="spellStart"/>
      <w:r w:rsidR="001D21E3" w:rsidRPr="008065C4">
        <w:rPr>
          <w:rFonts w:ascii="Times New Roman" w:hAnsi="Times New Roman"/>
        </w:rPr>
        <w:t>Kirman</w:t>
      </w:r>
      <w:proofErr w:type="spellEnd"/>
      <w:r w:rsidR="001D21E3" w:rsidRPr="008065C4">
        <w:rPr>
          <w:rFonts w:ascii="Times New Roman" w:hAnsi="Times New Roman"/>
        </w:rPr>
        <w:t xml:space="preserve"> A., </w:t>
      </w:r>
      <w:proofErr w:type="spellStart"/>
      <w:r w:rsidR="001D21E3" w:rsidRPr="008065C4">
        <w:rPr>
          <w:rFonts w:ascii="Times New Roman" w:hAnsi="Times New Roman"/>
        </w:rPr>
        <w:t>Leijonhufvud</w:t>
      </w:r>
      <w:proofErr w:type="spellEnd"/>
      <w:r w:rsidR="001D21E3" w:rsidRPr="008065C4">
        <w:rPr>
          <w:rFonts w:ascii="Times New Roman" w:hAnsi="Times New Roman"/>
        </w:rPr>
        <w:t xml:space="preserve"> A.</w:t>
      </w:r>
      <w:r w:rsidR="00A226A7" w:rsidRPr="008065C4">
        <w:rPr>
          <w:rFonts w:ascii="Times New Roman" w:hAnsi="Times New Roman"/>
        </w:rPr>
        <w:t>,</w:t>
      </w:r>
      <w:r w:rsidR="00475364" w:rsidRPr="008065C4">
        <w:rPr>
          <w:rFonts w:ascii="Times New Roman" w:hAnsi="Times New Roman"/>
        </w:rPr>
        <w:t xml:space="preserve"> &amp;</w:t>
      </w:r>
      <w:r w:rsidR="001D21E3" w:rsidRPr="008065C4">
        <w:rPr>
          <w:rFonts w:ascii="Times New Roman" w:hAnsi="Times New Roman"/>
        </w:rPr>
        <w:t xml:space="preserve"> </w:t>
      </w:r>
      <w:proofErr w:type="spellStart"/>
      <w:r w:rsidR="001D21E3" w:rsidRPr="008065C4">
        <w:rPr>
          <w:rFonts w:ascii="Times New Roman" w:hAnsi="Times New Roman"/>
        </w:rPr>
        <w:t>Meherling</w:t>
      </w:r>
      <w:proofErr w:type="spellEnd"/>
      <w:r w:rsidR="001D21E3" w:rsidRPr="008065C4">
        <w:rPr>
          <w:rFonts w:ascii="Times New Roman" w:hAnsi="Times New Roman"/>
        </w:rPr>
        <w:t xml:space="preserve"> P. (2008), "Beyond DSGE </w:t>
      </w:r>
      <w:proofErr w:type="spellStart"/>
      <w:r w:rsidR="001D21E3" w:rsidRPr="008065C4">
        <w:rPr>
          <w:rFonts w:ascii="Times New Roman" w:hAnsi="Times New Roman"/>
        </w:rPr>
        <w:t>Models:Toward</w:t>
      </w:r>
      <w:proofErr w:type="spellEnd"/>
      <w:r w:rsidR="001D21E3" w:rsidRPr="008065C4">
        <w:rPr>
          <w:rFonts w:ascii="Times New Roman" w:hAnsi="Times New Roman"/>
        </w:rPr>
        <w:t xml:space="preserve"> an Emp</w:t>
      </w:r>
      <w:r w:rsidR="00A226A7" w:rsidRPr="008065C4">
        <w:rPr>
          <w:rFonts w:ascii="Times New Roman" w:hAnsi="Times New Roman"/>
        </w:rPr>
        <w:t>i</w:t>
      </w:r>
      <w:r w:rsidR="001D21E3" w:rsidRPr="008065C4">
        <w:rPr>
          <w:rFonts w:ascii="Times New Roman" w:hAnsi="Times New Roman"/>
        </w:rPr>
        <w:t>rically Based Macroeconomics</w:t>
      </w:r>
      <w:r w:rsidR="00AD5E0F" w:rsidRPr="008065C4">
        <w:rPr>
          <w:rFonts w:ascii="Times New Roman" w:hAnsi="Times New Roman"/>
        </w:rPr>
        <w:t>”</w:t>
      </w:r>
      <w:r w:rsidR="001D21E3" w:rsidRPr="008065C4">
        <w:rPr>
          <w:rFonts w:ascii="Times New Roman" w:hAnsi="Times New Roman"/>
        </w:rPr>
        <w:t xml:space="preserve">, Papers and Proceedings of the American Economic Association, </w:t>
      </w:r>
      <w:r w:rsidR="001D21E3" w:rsidRPr="008065C4">
        <w:rPr>
          <w:rFonts w:ascii="Times New Roman" w:hAnsi="Times New Roman"/>
          <w:i/>
        </w:rPr>
        <w:t>American Economic Review</w:t>
      </w:r>
      <w:r w:rsidR="001D21E3" w:rsidRPr="008065C4">
        <w:rPr>
          <w:rFonts w:ascii="Times New Roman" w:hAnsi="Times New Roman"/>
        </w:rPr>
        <w:t>, 98, 236-240.</w:t>
      </w:r>
      <w:r w:rsidR="00B50939" w:rsidRPr="008065C4">
        <w:rPr>
          <w:rFonts w:ascii="Times New Roman" w:hAnsi="Times New Roman"/>
        </w:rPr>
        <w:br/>
        <w:t xml:space="preserve">Craig, B </w:t>
      </w:r>
      <w:r w:rsidR="00475364" w:rsidRPr="008065C4">
        <w:rPr>
          <w:rFonts w:ascii="Times New Roman" w:hAnsi="Times New Roman"/>
        </w:rPr>
        <w:t>&amp;</w:t>
      </w:r>
      <w:r w:rsidR="00B50939" w:rsidRPr="008065C4">
        <w:rPr>
          <w:rFonts w:ascii="Times New Roman" w:hAnsi="Times New Roman"/>
        </w:rPr>
        <w:t xml:space="preserve"> von Peter, G.</w:t>
      </w:r>
      <w:r w:rsidR="00E57ABD" w:rsidRPr="008065C4">
        <w:rPr>
          <w:rFonts w:ascii="Times New Roman" w:hAnsi="Times New Roman"/>
        </w:rPr>
        <w:t xml:space="preserve"> </w:t>
      </w:r>
      <w:r w:rsidR="00B50939" w:rsidRPr="008065C4">
        <w:rPr>
          <w:rFonts w:ascii="Times New Roman" w:hAnsi="Times New Roman"/>
        </w:rPr>
        <w:t>(</w:t>
      </w:r>
      <w:r w:rsidR="00E57ABD" w:rsidRPr="008065C4">
        <w:rPr>
          <w:rFonts w:ascii="Times New Roman" w:hAnsi="Times New Roman"/>
        </w:rPr>
        <w:t>2010</w:t>
      </w:r>
      <w:r w:rsidR="00B50939" w:rsidRPr="008065C4">
        <w:rPr>
          <w:rFonts w:ascii="Times New Roman" w:hAnsi="Times New Roman"/>
        </w:rPr>
        <w:t>)</w:t>
      </w:r>
      <w:r w:rsidR="00E57ABD" w:rsidRPr="008065C4">
        <w:rPr>
          <w:rFonts w:ascii="Times New Roman" w:hAnsi="Times New Roman"/>
        </w:rPr>
        <w:t>, “</w:t>
      </w:r>
      <w:proofErr w:type="gramStart"/>
      <w:r w:rsidR="00E57ABD" w:rsidRPr="008065C4">
        <w:rPr>
          <w:rFonts w:ascii="Times New Roman" w:hAnsi="Times New Roman"/>
        </w:rPr>
        <w:t xml:space="preserve">Interbank  </w:t>
      </w:r>
      <w:proofErr w:type="spellStart"/>
      <w:r w:rsidR="00E57ABD" w:rsidRPr="008065C4">
        <w:rPr>
          <w:rFonts w:ascii="Times New Roman" w:hAnsi="Times New Roman"/>
        </w:rPr>
        <w:t>tiering</w:t>
      </w:r>
      <w:proofErr w:type="spellEnd"/>
      <w:proofErr w:type="gramEnd"/>
      <w:r w:rsidR="00E57ABD" w:rsidRPr="008065C4">
        <w:rPr>
          <w:rFonts w:ascii="Times New Roman" w:hAnsi="Times New Roman"/>
        </w:rPr>
        <w:t xml:space="preserve"> and money </w:t>
      </w:r>
      <w:proofErr w:type="spellStart"/>
      <w:r w:rsidR="00E57ABD" w:rsidRPr="008065C4">
        <w:rPr>
          <w:rFonts w:ascii="Times New Roman" w:hAnsi="Times New Roman"/>
        </w:rPr>
        <w:t>center</w:t>
      </w:r>
      <w:proofErr w:type="spellEnd"/>
      <w:r w:rsidR="00E57ABD" w:rsidRPr="008065C4">
        <w:rPr>
          <w:rFonts w:ascii="Times New Roman" w:hAnsi="Times New Roman"/>
        </w:rPr>
        <w:t xml:space="preserve">  banks”, BIS Working Paper No. 322. </w:t>
      </w:r>
      <w:r w:rsidR="00893880" w:rsidRPr="008065C4">
        <w:rPr>
          <w:rFonts w:ascii="Times New Roman" w:hAnsi="Times New Roman"/>
        </w:rPr>
        <w:br/>
        <w:t xml:space="preserve">Darby, M. (1994) “Over the counter derivatives and systemic risk to the global financial system”, NBER WP No. 4801. </w:t>
      </w:r>
      <w:r w:rsidR="00644AC7" w:rsidRPr="008065C4">
        <w:rPr>
          <w:rFonts w:ascii="Times New Roman" w:hAnsi="Times New Roman"/>
        </w:rPr>
        <w:br/>
      </w:r>
      <w:r w:rsidR="009257E5" w:rsidRPr="008065C4">
        <w:rPr>
          <w:rFonts w:ascii="Times New Roman" w:hAnsi="Times New Roman"/>
        </w:rPr>
        <w:t xml:space="preserve">Das, S. (2010) </w:t>
      </w:r>
      <w:r w:rsidR="00475364" w:rsidRPr="008065C4">
        <w:rPr>
          <w:rFonts w:ascii="Times New Roman" w:hAnsi="Times New Roman"/>
        </w:rPr>
        <w:t>“Credit</w:t>
      </w:r>
      <w:r w:rsidR="009257E5" w:rsidRPr="008065C4">
        <w:rPr>
          <w:rFonts w:ascii="Times New Roman" w:hAnsi="Times New Roman"/>
        </w:rPr>
        <w:t xml:space="preserve"> Default Swaps – Financial Innovation or Financial Dysfunction</w:t>
      </w:r>
      <w:proofErr w:type="gramStart"/>
      <w:r w:rsidR="009257E5" w:rsidRPr="008065C4">
        <w:rPr>
          <w:rFonts w:ascii="Times New Roman" w:hAnsi="Times New Roman"/>
        </w:rPr>
        <w:t>” ,</w:t>
      </w:r>
      <w:proofErr w:type="gramEnd"/>
      <w:r w:rsidR="009257E5" w:rsidRPr="008065C4">
        <w:rPr>
          <w:rFonts w:ascii="Times New Roman" w:hAnsi="Times New Roman"/>
        </w:rPr>
        <w:t xml:space="preserve"> </w:t>
      </w:r>
      <w:r w:rsidR="009257E5" w:rsidRPr="008065C4">
        <w:rPr>
          <w:rFonts w:ascii="Times New Roman" w:hAnsi="Times New Roman"/>
          <w:i/>
        </w:rPr>
        <w:t xml:space="preserve"> </w:t>
      </w:r>
      <w:proofErr w:type="spellStart"/>
      <w:r w:rsidR="009257E5" w:rsidRPr="008065C4">
        <w:rPr>
          <w:rFonts w:ascii="Times New Roman" w:hAnsi="Times New Roman"/>
          <w:i/>
        </w:rPr>
        <w:t>Banque</w:t>
      </w:r>
      <w:proofErr w:type="spellEnd"/>
      <w:r w:rsidR="009257E5" w:rsidRPr="008065C4">
        <w:rPr>
          <w:rFonts w:ascii="Times New Roman" w:hAnsi="Times New Roman"/>
          <w:i/>
        </w:rPr>
        <w:t xml:space="preserve"> De France </w:t>
      </w:r>
      <w:r w:rsidR="009257E5" w:rsidRPr="008065C4">
        <w:rPr>
          <w:rFonts w:ascii="Times New Roman" w:hAnsi="Times New Roman"/>
        </w:rPr>
        <w:t xml:space="preserve">, </w:t>
      </w:r>
      <w:r w:rsidR="009257E5" w:rsidRPr="008065C4">
        <w:rPr>
          <w:rFonts w:ascii="Times New Roman" w:hAnsi="Times New Roman"/>
          <w:i/>
        </w:rPr>
        <w:t xml:space="preserve">Financial Stability Report , </w:t>
      </w:r>
      <w:r w:rsidR="009257E5" w:rsidRPr="008065C4">
        <w:rPr>
          <w:rFonts w:ascii="Times New Roman" w:hAnsi="Times New Roman"/>
        </w:rPr>
        <w:t xml:space="preserve"> No. 14, Derivatives.</w:t>
      </w:r>
      <w:r w:rsidR="00644AC7" w:rsidRPr="008065C4">
        <w:rPr>
          <w:rFonts w:ascii="Times New Roman" w:hAnsi="Times New Roman"/>
        </w:rPr>
        <w:br/>
      </w:r>
      <w:r w:rsidR="009257E5" w:rsidRPr="008065C4">
        <w:rPr>
          <w:rFonts w:ascii="Times New Roman" w:hAnsi="Times New Roman"/>
        </w:rPr>
        <w:t xml:space="preserve">Deng, Y., S. Gabriel, </w:t>
      </w:r>
      <w:r w:rsidR="00475364" w:rsidRPr="008065C4">
        <w:rPr>
          <w:rFonts w:ascii="Times New Roman" w:hAnsi="Times New Roman"/>
        </w:rPr>
        <w:t xml:space="preserve">&amp; </w:t>
      </w:r>
      <w:r w:rsidR="009257E5" w:rsidRPr="008065C4">
        <w:rPr>
          <w:rFonts w:ascii="Times New Roman" w:hAnsi="Times New Roman"/>
        </w:rPr>
        <w:t xml:space="preserve">A. Saunders </w:t>
      </w:r>
      <w:r w:rsidR="00B50939" w:rsidRPr="008065C4">
        <w:rPr>
          <w:rFonts w:ascii="Times New Roman" w:hAnsi="Times New Roman"/>
        </w:rPr>
        <w:t>(</w:t>
      </w:r>
      <w:r w:rsidR="009257E5" w:rsidRPr="008065C4">
        <w:rPr>
          <w:rFonts w:ascii="Times New Roman" w:hAnsi="Times New Roman"/>
        </w:rPr>
        <w:t>2010</w:t>
      </w:r>
      <w:r w:rsidR="00B50939" w:rsidRPr="008065C4">
        <w:rPr>
          <w:rFonts w:ascii="Times New Roman" w:hAnsi="Times New Roman"/>
        </w:rPr>
        <w:t>)</w:t>
      </w:r>
      <w:r w:rsidR="009257E5" w:rsidRPr="008065C4">
        <w:rPr>
          <w:rFonts w:ascii="Times New Roman" w:hAnsi="Times New Roman"/>
        </w:rPr>
        <w:t xml:space="preserve">, </w:t>
      </w:r>
      <w:proofErr w:type="gramStart"/>
      <w:r w:rsidR="009257E5" w:rsidRPr="008065C4">
        <w:rPr>
          <w:rFonts w:ascii="Times New Roman" w:hAnsi="Times New Roman"/>
        </w:rPr>
        <w:t>“ CDO</w:t>
      </w:r>
      <w:proofErr w:type="gramEnd"/>
      <w:r w:rsidR="009257E5" w:rsidRPr="008065C4">
        <w:rPr>
          <w:rFonts w:ascii="Times New Roman" w:hAnsi="Times New Roman"/>
        </w:rPr>
        <w:t xml:space="preserve"> Market Implosion and the Pricing of Subprime Mortgage- Backed Securities ”, </w:t>
      </w:r>
      <w:r w:rsidR="009257E5" w:rsidRPr="008065C4">
        <w:rPr>
          <w:rFonts w:ascii="Times New Roman" w:hAnsi="Times New Roman"/>
          <w:i/>
        </w:rPr>
        <w:t>Journal of Housing Economics,</w:t>
      </w:r>
      <w:r w:rsidR="00644AC7" w:rsidRPr="008065C4">
        <w:rPr>
          <w:rFonts w:ascii="Times New Roman" w:hAnsi="Times New Roman"/>
          <w:i/>
        </w:rPr>
        <w:t xml:space="preserve"> </w:t>
      </w:r>
      <w:r w:rsidR="00644AC7" w:rsidRPr="008065C4">
        <w:rPr>
          <w:rFonts w:ascii="Times New Roman" w:hAnsi="Times New Roman"/>
        </w:rPr>
        <w:t>doi:10.1016.</w:t>
      </w:r>
      <w:r w:rsidR="009257E5" w:rsidRPr="008065C4">
        <w:rPr>
          <w:rFonts w:ascii="Times New Roman" w:hAnsi="Times New Roman"/>
          <w:i/>
        </w:rPr>
        <w:t xml:space="preserve"> </w:t>
      </w:r>
      <w:r w:rsidR="00EE542E" w:rsidRPr="008065C4">
        <w:rPr>
          <w:rFonts w:ascii="Times New Roman" w:hAnsi="Times New Roman"/>
          <w:i/>
        </w:rPr>
        <w:br/>
      </w:r>
      <w:proofErr w:type="spellStart"/>
      <w:proofErr w:type="gramStart"/>
      <w:r w:rsidR="00EE542E" w:rsidRPr="008065C4">
        <w:rPr>
          <w:rFonts w:ascii="Times New Roman" w:hAnsi="Times New Roman"/>
          <w:lang w:eastAsia="en-GB"/>
        </w:rPr>
        <w:t>Duffie</w:t>
      </w:r>
      <w:proofErr w:type="spellEnd"/>
      <w:r w:rsidR="00B84475" w:rsidRPr="008065C4">
        <w:rPr>
          <w:rFonts w:ascii="Times New Roman" w:hAnsi="Times New Roman"/>
          <w:lang w:eastAsia="en-GB"/>
        </w:rPr>
        <w:t>,</w:t>
      </w:r>
      <w:r w:rsidR="00EE542E" w:rsidRPr="008065C4">
        <w:rPr>
          <w:rFonts w:ascii="Times New Roman" w:hAnsi="Times New Roman"/>
          <w:lang w:eastAsia="en-GB"/>
        </w:rPr>
        <w:t xml:space="preserve"> D. </w:t>
      </w:r>
      <w:r w:rsidR="00FA3218" w:rsidRPr="008065C4">
        <w:rPr>
          <w:rFonts w:ascii="Times New Roman" w:hAnsi="Times New Roman"/>
          <w:lang w:eastAsia="en-GB"/>
        </w:rPr>
        <w:t xml:space="preserve">(1999) </w:t>
      </w:r>
      <w:r w:rsidR="00EE542E" w:rsidRPr="008065C4">
        <w:rPr>
          <w:rFonts w:ascii="Times New Roman" w:hAnsi="Times New Roman"/>
          <w:lang w:eastAsia="en-GB"/>
        </w:rPr>
        <w:t>“Credit swap valuation”, Financial Analysts Journal 55 p</w:t>
      </w:r>
      <w:r w:rsidR="00B50939" w:rsidRPr="008065C4">
        <w:rPr>
          <w:rFonts w:ascii="Times New Roman" w:hAnsi="Times New Roman"/>
          <w:lang w:eastAsia="en-GB"/>
        </w:rPr>
        <w:t>p</w:t>
      </w:r>
      <w:r w:rsidR="00EE542E" w:rsidRPr="008065C4">
        <w:rPr>
          <w:rFonts w:ascii="Times New Roman" w:hAnsi="Times New Roman"/>
          <w:lang w:eastAsia="en-GB"/>
        </w:rPr>
        <w:t>. 73-87</w:t>
      </w:r>
      <w:r w:rsidR="00623DB5" w:rsidRPr="008065C4">
        <w:rPr>
          <w:rFonts w:ascii="Times New Roman" w:hAnsi="Times New Roman"/>
          <w:lang w:eastAsia="en-GB"/>
        </w:rPr>
        <w:t>.</w:t>
      </w:r>
      <w:proofErr w:type="gramEnd"/>
      <w:r w:rsidR="00623DB5" w:rsidRPr="008065C4">
        <w:rPr>
          <w:rFonts w:ascii="Times New Roman" w:hAnsi="Times New Roman"/>
          <w:lang w:eastAsia="en-GB"/>
        </w:rPr>
        <w:br/>
      </w:r>
      <w:proofErr w:type="spellStart"/>
      <w:r w:rsidR="00B50939" w:rsidRPr="008065C4">
        <w:rPr>
          <w:rFonts w:ascii="Times New Roman" w:hAnsi="Times New Roman"/>
        </w:rPr>
        <w:t>Eichengreen</w:t>
      </w:r>
      <w:proofErr w:type="spellEnd"/>
      <w:r w:rsidR="00B50939" w:rsidRPr="008065C4">
        <w:rPr>
          <w:rFonts w:ascii="Times New Roman" w:hAnsi="Times New Roman"/>
        </w:rPr>
        <w:t xml:space="preserve">, B. (2010) “Globalization and the Crisis”, In Article provided by </w:t>
      </w:r>
      <w:proofErr w:type="spellStart"/>
      <w:r w:rsidR="00B50939" w:rsidRPr="008065C4">
        <w:rPr>
          <w:rFonts w:ascii="Times New Roman" w:hAnsi="Times New Roman"/>
        </w:rPr>
        <w:t>Ifo</w:t>
      </w:r>
      <w:proofErr w:type="spellEnd"/>
      <w:r w:rsidR="00B50939" w:rsidRPr="008065C4">
        <w:rPr>
          <w:rFonts w:ascii="Times New Roman" w:hAnsi="Times New Roman"/>
        </w:rPr>
        <w:t xml:space="preserve"> Institute for Economic Research at the University of Munich in its journal </w:t>
      </w:r>
      <w:hyperlink r:id="rId22" w:history="1">
        <w:proofErr w:type="spellStart"/>
        <w:r w:rsidR="00B50939" w:rsidRPr="008065C4">
          <w:rPr>
            <w:rStyle w:val="Hyperlink"/>
            <w:rFonts w:ascii="Times New Roman" w:hAnsi="Times New Roman"/>
          </w:rPr>
          <w:t>CESifo</w:t>
        </w:r>
        <w:proofErr w:type="spellEnd"/>
        <w:r w:rsidR="00B50939" w:rsidRPr="008065C4">
          <w:rPr>
            <w:rStyle w:val="Hyperlink"/>
            <w:rFonts w:ascii="Times New Roman" w:hAnsi="Times New Roman"/>
          </w:rPr>
          <w:t xml:space="preserve"> Forum</w:t>
        </w:r>
      </w:hyperlink>
      <w:r w:rsidR="00B50939" w:rsidRPr="008065C4">
        <w:rPr>
          <w:rFonts w:ascii="Times New Roman" w:hAnsi="Times New Roman"/>
        </w:rPr>
        <w:t xml:space="preserve">. </w:t>
      </w:r>
      <w:r w:rsidR="00B50939" w:rsidRPr="008065C4">
        <w:rPr>
          <w:rFonts w:ascii="Times New Roman" w:hAnsi="Times New Roman"/>
          <w:bCs/>
        </w:rPr>
        <w:t xml:space="preserve">Volume </w:t>
      </w:r>
      <w:r w:rsidR="00B50939" w:rsidRPr="008065C4">
        <w:rPr>
          <w:rFonts w:ascii="Times New Roman" w:hAnsi="Times New Roman"/>
        </w:rPr>
        <w:t xml:space="preserve">11 (2010) </w:t>
      </w:r>
      <w:r w:rsidR="00B50939" w:rsidRPr="008065C4">
        <w:rPr>
          <w:rFonts w:ascii="Times New Roman" w:hAnsi="Times New Roman"/>
          <w:bCs/>
        </w:rPr>
        <w:t>Issue (Month):</w:t>
      </w:r>
      <w:r w:rsidR="00B50939" w:rsidRPr="008065C4">
        <w:rPr>
          <w:rFonts w:ascii="Times New Roman" w:hAnsi="Times New Roman"/>
        </w:rPr>
        <w:t xml:space="preserve"> 3 (October), pp. 20-24.</w:t>
      </w:r>
      <w:r w:rsidR="000D3B6E" w:rsidRPr="008065C4">
        <w:rPr>
          <w:rFonts w:ascii="Times New Roman" w:hAnsi="Times New Roman"/>
        </w:rPr>
        <w:br/>
      </w:r>
      <w:r w:rsidR="00EE25AA" w:rsidRPr="008065C4">
        <w:rPr>
          <w:rFonts w:ascii="Times New Roman" w:hAnsi="Times New Roman"/>
        </w:rPr>
        <w:t>European Central Bank (2004), “Credit Risk Transfer by EU Banks: Activities, Risks and Risk Management”, Banking Supervision Committee of the European System of Central Banks, May 2004, Frankfurt, Germany.</w:t>
      </w:r>
      <w:r w:rsidR="000D3B6E" w:rsidRPr="008065C4">
        <w:rPr>
          <w:rFonts w:ascii="Times New Roman" w:hAnsi="Times New Roman"/>
        </w:rPr>
        <w:br/>
      </w:r>
      <w:proofErr w:type="gramStart"/>
      <w:r w:rsidR="008065C4" w:rsidRPr="008065C4">
        <w:rPr>
          <w:rFonts w:ascii="Times New Roman" w:hAnsi="Times New Roman"/>
        </w:rPr>
        <w:t>Fricke, D.</w:t>
      </w:r>
      <w:proofErr w:type="gramEnd"/>
      <w:r w:rsidR="008065C4" w:rsidRPr="008065C4">
        <w:rPr>
          <w:rFonts w:ascii="Times New Roman" w:hAnsi="Times New Roman"/>
        </w:rPr>
        <w:t xml:space="preserve"> And T. </w:t>
      </w:r>
      <w:proofErr w:type="spellStart"/>
      <w:r w:rsidR="008065C4" w:rsidRPr="008065C4">
        <w:rPr>
          <w:rFonts w:ascii="Times New Roman" w:hAnsi="Times New Roman"/>
        </w:rPr>
        <w:t>Lux</w:t>
      </w:r>
      <w:proofErr w:type="spellEnd"/>
      <w:r w:rsidR="008065C4" w:rsidRPr="008065C4">
        <w:rPr>
          <w:rFonts w:ascii="Times New Roman" w:hAnsi="Times New Roman"/>
        </w:rPr>
        <w:t xml:space="preserve"> (2012) “Identifying a Core-Periphery Structure in the Italian Interbank </w:t>
      </w:r>
      <w:proofErr w:type="spellStart"/>
      <w:r w:rsidR="008065C4" w:rsidRPr="008065C4">
        <w:rPr>
          <w:rFonts w:ascii="Times New Roman" w:hAnsi="Times New Roman"/>
        </w:rPr>
        <w:t>Market”</w:t>
      </w:r>
      <w:proofErr w:type="gramStart"/>
      <w:r w:rsidR="008065C4" w:rsidRPr="008065C4">
        <w:rPr>
          <w:rFonts w:ascii="Times New Roman" w:hAnsi="Times New Roman"/>
        </w:rPr>
        <w:t>,Kiel</w:t>
      </w:r>
      <w:proofErr w:type="spellEnd"/>
      <w:proofErr w:type="gramEnd"/>
      <w:r w:rsidR="008065C4" w:rsidRPr="008065C4">
        <w:rPr>
          <w:rFonts w:ascii="Times New Roman" w:hAnsi="Times New Roman"/>
        </w:rPr>
        <w:t xml:space="preserve"> Institute for the World Economy, Mimeo.</w:t>
      </w:r>
      <w:r w:rsidR="008065C4" w:rsidRPr="008065C4">
        <w:rPr>
          <w:rFonts w:ascii="Times New Roman" w:hAnsi="Times New Roman"/>
        </w:rPr>
        <w:br/>
      </w:r>
      <w:r w:rsidR="00913DB3" w:rsidRPr="008065C4">
        <w:rPr>
          <w:rFonts w:ascii="Times New Roman" w:hAnsi="Times New Roman"/>
        </w:rPr>
        <w:t xml:space="preserve">Gibson, M. (2007) “Credit Derivatives &amp; Risk Management”, </w:t>
      </w:r>
      <w:r w:rsidR="00913DB3" w:rsidRPr="008065C4">
        <w:rPr>
          <w:rFonts w:ascii="Times New Roman" w:hAnsi="Times New Roman"/>
          <w:i/>
        </w:rPr>
        <w:t xml:space="preserve"> </w:t>
      </w:r>
      <w:r w:rsidR="00913DB3" w:rsidRPr="008065C4">
        <w:rPr>
          <w:rFonts w:ascii="Times New Roman" w:hAnsi="Times New Roman"/>
        </w:rPr>
        <w:t>Financial and Economics  Discussion Paper  2007-47, Division of Research and Statistics and Monetary Affairs, Federal Reserve Board, Washington D.C.</w:t>
      </w:r>
      <w:r w:rsidR="00644AC7" w:rsidRPr="008065C4">
        <w:rPr>
          <w:rFonts w:ascii="Times New Roman" w:hAnsi="Times New Roman"/>
        </w:rPr>
        <w:br/>
      </w:r>
      <w:proofErr w:type="spellStart"/>
      <w:r w:rsidRPr="008065C4">
        <w:rPr>
          <w:rFonts w:ascii="Times New Roman" w:hAnsi="Times New Roman"/>
        </w:rPr>
        <w:t>Goderis</w:t>
      </w:r>
      <w:proofErr w:type="spellEnd"/>
      <w:r w:rsidRPr="008065C4">
        <w:rPr>
          <w:rFonts w:ascii="Times New Roman" w:hAnsi="Times New Roman"/>
        </w:rPr>
        <w:t>, B., I. Marsh , J</w:t>
      </w:r>
      <w:r w:rsidR="00A2634D" w:rsidRPr="008065C4">
        <w:rPr>
          <w:rFonts w:ascii="Times New Roman" w:hAnsi="Times New Roman"/>
        </w:rPr>
        <w:t>.</w:t>
      </w:r>
      <w:r w:rsidRPr="008065C4">
        <w:rPr>
          <w:rFonts w:ascii="Times New Roman" w:hAnsi="Times New Roman"/>
        </w:rPr>
        <w:t>,</w:t>
      </w:r>
      <w:r w:rsidR="00475364" w:rsidRPr="008065C4">
        <w:rPr>
          <w:rFonts w:ascii="Times New Roman" w:hAnsi="Times New Roman"/>
        </w:rPr>
        <w:t xml:space="preserve"> &amp;</w:t>
      </w:r>
      <w:r w:rsidRPr="008065C4">
        <w:rPr>
          <w:rFonts w:ascii="Times New Roman" w:hAnsi="Times New Roman"/>
        </w:rPr>
        <w:t xml:space="preserve"> W. Wagner</w:t>
      </w:r>
      <w:r w:rsidR="00913DB3" w:rsidRPr="008065C4">
        <w:rPr>
          <w:rFonts w:ascii="Times New Roman" w:hAnsi="Times New Roman"/>
        </w:rPr>
        <w:t xml:space="preserve"> </w:t>
      </w:r>
      <w:r w:rsidRPr="008065C4">
        <w:rPr>
          <w:rFonts w:ascii="Times New Roman" w:hAnsi="Times New Roman"/>
        </w:rPr>
        <w:t xml:space="preserve"> </w:t>
      </w:r>
      <w:r w:rsidR="00913DB3" w:rsidRPr="008065C4">
        <w:rPr>
          <w:rFonts w:ascii="Times New Roman" w:hAnsi="Times New Roman"/>
        </w:rPr>
        <w:t>(</w:t>
      </w:r>
      <w:r w:rsidRPr="008065C4">
        <w:rPr>
          <w:rFonts w:ascii="Times New Roman" w:hAnsi="Times New Roman"/>
        </w:rPr>
        <w:t>2007</w:t>
      </w:r>
      <w:r w:rsidR="00913DB3" w:rsidRPr="008065C4">
        <w:rPr>
          <w:rFonts w:ascii="Times New Roman" w:hAnsi="Times New Roman"/>
        </w:rPr>
        <w:t>)</w:t>
      </w:r>
      <w:r w:rsidRPr="008065C4">
        <w:rPr>
          <w:rFonts w:ascii="Times New Roman" w:hAnsi="Times New Roman"/>
        </w:rPr>
        <w:t xml:space="preserve">, "Bank Behaviour with Access to Credit Risk Transfer Markets”, Bank of Finland Discussion Paper 4/2007.   </w:t>
      </w:r>
      <w:r w:rsidR="00644AC7" w:rsidRPr="008065C4">
        <w:rPr>
          <w:rFonts w:ascii="Times New Roman" w:hAnsi="Times New Roman"/>
        </w:rPr>
        <w:br/>
      </w:r>
      <w:r w:rsidR="00366CE6" w:rsidRPr="008065C4">
        <w:rPr>
          <w:rFonts w:ascii="Times New Roman" w:hAnsi="Times New Roman"/>
          <w:iCs/>
          <w:lang w:eastAsia="en-GB"/>
        </w:rPr>
        <w:lastRenderedPageBreak/>
        <w:t xml:space="preserve">Gorton, G. </w:t>
      </w:r>
      <w:r w:rsidR="00475364" w:rsidRPr="008065C4">
        <w:rPr>
          <w:rFonts w:ascii="Times New Roman" w:hAnsi="Times New Roman"/>
          <w:iCs/>
          <w:lang w:eastAsia="en-GB"/>
        </w:rPr>
        <w:t>&amp;</w:t>
      </w:r>
      <w:r w:rsidR="00366CE6" w:rsidRPr="008065C4">
        <w:rPr>
          <w:rFonts w:ascii="Times New Roman" w:hAnsi="Times New Roman"/>
          <w:iCs/>
          <w:lang w:eastAsia="en-GB"/>
        </w:rPr>
        <w:t xml:space="preserve"> A. </w:t>
      </w:r>
      <w:proofErr w:type="spellStart"/>
      <w:r w:rsidR="00366CE6" w:rsidRPr="008065C4">
        <w:rPr>
          <w:rFonts w:ascii="Times New Roman" w:hAnsi="Times New Roman"/>
          <w:iCs/>
          <w:lang w:eastAsia="en-GB"/>
        </w:rPr>
        <w:t>Metrich</w:t>
      </w:r>
      <w:proofErr w:type="spellEnd"/>
      <w:r w:rsidR="00366CE6" w:rsidRPr="008065C4">
        <w:rPr>
          <w:rFonts w:ascii="Times New Roman" w:hAnsi="Times New Roman"/>
          <w:iCs/>
          <w:lang w:eastAsia="en-GB"/>
        </w:rPr>
        <w:t xml:space="preserve"> (2009) </w:t>
      </w:r>
      <w:proofErr w:type="gramStart"/>
      <w:r w:rsidR="00366CE6" w:rsidRPr="008065C4">
        <w:rPr>
          <w:rFonts w:ascii="Times New Roman" w:hAnsi="Times New Roman"/>
          <w:iCs/>
          <w:lang w:eastAsia="en-GB"/>
        </w:rPr>
        <w:t>“ Securitized</w:t>
      </w:r>
      <w:proofErr w:type="gramEnd"/>
      <w:r w:rsidR="00366CE6" w:rsidRPr="008065C4">
        <w:rPr>
          <w:rFonts w:ascii="Times New Roman" w:hAnsi="Times New Roman"/>
          <w:iCs/>
          <w:lang w:eastAsia="en-GB"/>
        </w:rPr>
        <w:t xml:space="preserve"> Banking and the Run on Repo”, NBER Working Paper 15223. </w:t>
      </w:r>
      <w:r w:rsidR="0020087F" w:rsidRPr="008065C4">
        <w:rPr>
          <w:rFonts w:ascii="Times New Roman" w:hAnsi="Times New Roman"/>
          <w:color w:val="000000"/>
        </w:rPr>
        <w:t xml:space="preserve">National Bureau of Economic Research, Inc, </w:t>
      </w:r>
      <w:hyperlink r:id="rId23" w:history="1">
        <w:r w:rsidR="0020087F" w:rsidRPr="008065C4">
          <w:rPr>
            <w:rStyle w:val="Hyperlink"/>
            <w:rFonts w:ascii="Times New Roman" w:hAnsi="Times New Roman"/>
          </w:rPr>
          <w:t>http://econpapers.repec.org/RePEc:nbr:nberwo:15223</w:t>
        </w:r>
      </w:hyperlink>
      <w:r w:rsidR="0020087F" w:rsidRPr="008065C4">
        <w:rPr>
          <w:rFonts w:ascii="Times New Roman" w:hAnsi="Times New Roman"/>
          <w:color w:val="000000"/>
        </w:rPr>
        <w:t>.</w:t>
      </w:r>
      <w:r w:rsidR="000D3B6E" w:rsidRPr="008065C4">
        <w:rPr>
          <w:rFonts w:ascii="Times New Roman" w:hAnsi="Times New Roman"/>
          <w:iCs/>
          <w:lang w:eastAsia="en-GB"/>
        </w:rPr>
        <w:br/>
      </w:r>
      <w:r w:rsidR="004A4EDB" w:rsidRPr="008065C4">
        <w:rPr>
          <w:rFonts w:ascii="Times New Roman" w:hAnsi="Times New Roman"/>
          <w:iCs/>
          <w:lang w:eastAsia="en-GB"/>
        </w:rPr>
        <w:t>Gorton, G.</w:t>
      </w:r>
      <w:r w:rsidR="008A4549" w:rsidRPr="008065C4">
        <w:rPr>
          <w:rFonts w:ascii="Times New Roman" w:hAnsi="Times New Roman"/>
          <w:iCs/>
          <w:lang w:eastAsia="en-GB"/>
        </w:rPr>
        <w:t xml:space="preserve"> (2009)</w:t>
      </w:r>
      <w:r w:rsidR="004A4EDB" w:rsidRPr="008065C4">
        <w:rPr>
          <w:rFonts w:ascii="Times New Roman" w:hAnsi="Times New Roman"/>
          <w:iCs/>
          <w:lang w:eastAsia="en-GB"/>
        </w:rPr>
        <w:t xml:space="preserve"> “The Subprime Panic”, </w:t>
      </w:r>
      <w:r w:rsidR="00453F77" w:rsidRPr="008065C4">
        <w:rPr>
          <w:rFonts w:ascii="Times New Roman" w:hAnsi="Times New Roman"/>
          <w:i/>
          <w:iCs/>
          <w:lang w:eastAsia="en-GB"/>
        </w:rPr>
        <w:t>European Financial Management</w:t>
      </w:r>
      <w:r w:rsidR="00453F77" w:rsidRPr="008065C4">
        <w:rPr>
          <w:rFonts w:ascii="Times New Roman" w:hAnsi="Times New Roman"/>
          <w:lang w:eastAsia="en-GB"/>
        </w:rPr>
        <w:t xml:space="preserve">, Vol. 15, No. 1, </w:t>
      </w:r>
      <w:r w:rsidR="008A4549" w:rsidRPr="008065C4">
        <w:rPr>
          <w:rFonts w:ascii="Times New Roman" w:hAnsi="Times New Roman"/>
          <w:lang w:eastAsia="en-GB"/>
        </w:rPr>
        <w:t xml:space="preserve">pp. </w:t>
      </w:r>
      <w:r w:rsidR="00453F77" w:rsidRPr="008065C4">
        <w:rPr>
          <w:rFonts w:ascii="Times New Roman" w:hAnsi="Times New Roman"/>
          <w:lang w:eastAsia="en-GB"/>
        </w:rPr>
        <w:t>10–46</w:t>
      </w:r>
      <w:r w:rsidR="008A4549" w:rsidRPr="008065C4">
        <w:rPr>
          <w:rFonts w:ascii="Times New Roman" w:hAnsi="Times New Roman"/>
          <w:lang w:eastAsia="en-GB"/>
        </w:rPr>
        <w:t xml:space="preserve">. </w:t>
      </w:r>
      <w:r w:rsidR="000D3B6E" w:rsidRPr="008065C4">
        <w:rPr>
          <w:rFonts w:ascii="Times New Roman" w:hAnsi="Times New Roman"/>
        </w:rPr>
        <w:br/>
      </w:r>
      <w:r w:rsidR="00B90A4A" w:rsidRPr="008065C4">
        <w:rPr>
          <w:rFonts w:ascii="Times New Roman" w:hAnsi="Times New Roman"/>
        </w:rPr>
        <w:t>Haldane Andrew G (April 2009), “Rethinking the financial network”, Speech delivered at the Financial Student Association, Amsterdam.</w:t>
      </w:r>
      <w:r w:rsidR="00B90A4A" w:rsidRPr="008065C4">
        <w:rPr>
          <w:rFonts w:ascii="Times New Roman" w:hAnsi="Times New Roman"/>
        </w:rPr>
        <w:br/>
      </w:r>
      <w:proofErr w:type="spellStart"/>
      <w:r w:rsidR="00644AC7" w:rsidRPr="008065C4">
        <w:rPr>
          <w:rFonts w:ascii="Times New Roman" w:hAnsi="Times New Roman"/>
          <w:lang w:eastAsia="es-ES"/>
        </w:rPr>
        <w:t>Hamerle</w:t>
      </w:r>
      <w:proofErr w:type="spellEnd"/>
      <w:r w:rsidR="00644AC7" w:rsidRPr="008065C4">
        <w:rPr>
          <w:rFonts w:ascii="Times New Roman" w:hAnsi="Times New Roman"/>
          <w:lang w:eastAsia="es-ES"/>
        </w:rPr>
        <w:t>, A</w:t>
      </w:r>
      <w:proofErr w:type="gramStart"/>
      <w:r w:rsidR="00644AC7" w:rsidRPr="008065C4">
        <w:rPr>
          <w:rFonts w:ascii="Times New Roman" w:hAnsi="Times New Roman"/>
          <w:lang w:eastAsia="es-ES"/>
        </w:rPr>
        <w:t>. ,</w:t>
      </w:r>
      <w:proofErr w:type="gramEnd"/>
      <w:r w:rsidR="00644AC7" w:rsidRPr="008065C4">
        <w:rPr>
          <w:rFonts w:ascii="Times New Roman" w:hAnsi="Times New Roman"/>
          <w:lang w:eastAsia="es-ES"/>
        </w:rPr>
        <w:t xml:space="preserve"> Liebig, T.,</w:t>
      </w:r>
      <w:r w:rsidR="00475364" w:rsidRPr="008065C4">
        <w:rPr>
          <w:rFonts w:ascii="Times New Roman" w:hAnsi="Times New Roman"/>
          <w:lang w:eastAsia="es-ES"/>
        </w:rPr>
        <w:t xml:space="preserve"> &amp;</w:t>
      </w:r>
      <w:r w:rsidR="00644AC7" w:rsidRPr="008065C4">
        <w:rPr>
          <w:rFonts w:ascii="Times New Roman" w:hAnsi="Times New Roman"/>
          <w:lang w:eastAsia="es-ES"/>
        </w:rPr>
        <w:t xml:space="preserve"> </w:t>
      </w:r>
      <w:proofErr w:type="spellStart"/>
      <w:r w:rsidR="00644AC7" w:rsidRPr="008065C4">
        <w:rPr>
          <w:rFonts w:ascii="Times New Roman" w:hAnsi="Times New Roman"/>
          <w:lang w:eastAsia="es-ES"/>
        </w:rPr>
        <w:t>Schropp</w:t>
      </w:r>
      <w:proofErr w:type="spellEnd"/>
      <w:r w:rsidR="00644AC7" w:rsidRPr="008065C4">
        <w:rPr>
          <w:rFonts w:ascii="Times New Roman" w:hAnsi="Times New Roman"/>
          <w:lang w:eastAsia="es-ES"/>
        </w:rPr>
        <w:t>, H-J, 2009, “</w:t>
      </w:r>
      <w:r w:rsidR="00644AC7" w:rsidRPr="008065C4">
        <w:rPr>
          <w:rFonts w:ascii="Times New Roman" w:hAnsi="Times New Roman"/>
          <w:bCs/>
          <w:lang w:eastAsia="en-GB"/>
        </w:rPr>
        <w:t xml:space="preserve">Systematic risk of CDOs and CDO arbitrage”, </w:t>
      </w:r>
      <w:r w:rsidR="00644AC7" w:rsidRPr="008065C4">
        <w:rPr>
          <w:rFonts w:ascii="Times New Roman" w:hAnsi="Times New Roman"/>
          <w:lang w:eastAsia="en-GB"/>
        </w:rPr>
        <w:t xml:space="preserve"> Deutsche </w:t>
      </w:r>
      <w:proofErr w:type="spellStart"/>
      <w:r w:rsidR="00644AC7" w:rsidRPr="008065C4">
        <w:rPr>
          <w:rFonts w:ascii="Times New Roman" w:hAnsi="Times New Roman"/>
          <w:lang w:eastAsia="en-GB"/>
        </w:rPr>
        <w:t>Bundesbank</w:t>
      </w:r>
      <w:proofErr w:type="spellEnd"/>
      <w:r w:rsidR="00644AC7" w:rsidRPr="008065C4">
        <w:rPr>
          <w:rFonts w:ascii="Times New Roman" w:hAnsi="Times New Roman"/>
          <w:lang w:eastAsia="en-GB"/>
        </w:rPr>
        <w:t xml:space="preserve"> Discussion Paper Series 2: Banking and Financial Studies No 13/2009</w:t>
      </w:r>
      <w:r w:rsidR="00597A3E" w:rsidRPr="008065C4">
        <w:rPr>
          <w:rFonts w:ascii="Times New Roman" w:hAnsi="Times New Roman"/>
          <w:lang w:eastAsia="en-GB"/>
        </w:rPr>
        <w:t>.</w:t>
      </w:r>
      <w:r w:rsidR="00597A3E" w:rsidRPr="008065C4">
        <w:rPr>
          <w:rFonts w:ascii="Times New Roman" w:hAnsi="Times New Roman"/>
          <w:lang w:eastAsia="en-GB"/>
        </w:rPr>
        <w:br/>
      </w:r>
      <w:r w:rsidR="00644AC7" w:rsidRPr="008065C4">
        <w:rPr>
          <w:rFonts w:ascii="Times New Roman" w:hAnsi="Times New Roman"/>
        </w:rPr>
        <w:t>Hellwig, M. (2010</w:t>
      </w:r>
      <w:proofErr w:type="gramStart"/>
      <w:r w:rsidR="00644AC7" w:rsidRPr="008065C4">
        <w:rPr>
          <w:rFonts w:ascii="Times New Roman" w:hAnsi="Times New Roman"/>
        </w:rPr>
        <w:t>)“</w:t>
      </w:r>
      <w:proofErr w:type="gramEnd"/>
      <w:r w:rsidR="00644AC7" w:rsidRPr="008065C4">
        <w:rPr>
          <w:rFonts w:ascii="Times New Roman" w:hAnsi="Times New Roman"/>
        </w:rPr>
        <w:t xml:space="preserve">Capital regulation after the crisis: business as usual ?”, </w:t>
      </w:r>
      <w:proofErr w:type="spellStart"/>
      <w:r w:rsidR="00644AC7" w:rsidRPr="008065C4">
        <w:rPr>
          <w:rFonts w:ascii="Times New Roman" w:hAnsi="Times New Roman"/>
        </w:rPr>
        <w:t>CESifo</w:t>
      </w:r>
      <w:proofErr w:type="spellEnd"/>
      <w:r w:rsidR="00644AC7" w:rsidRPr="008065C4">
        <w:rPr>
          <w:rFonts w:ascii="Times New Roman" w:hAnsi="Times New Roman"/>
        </w:rPr>
        <w:t xml:space="preserve"> DICE Report , Journal for Institutional </w:t>
      </w:r>
      <w:proofErr w:type="spellStart"/>
      <w:r w:rsidR="00644AC7" w:rsidRPr="008065C4">
        <w:rPr>
          <w:rFonts w:ascii="Times New Roman" w:hAnsi="Times New Roman"/>
        </w:rPr>
        <w:t>Comparisons.Vol</w:t>
      </w:r>
      <w:proofErr w:type="spellEnd"/>
      <w:r w:rsidR="00644AC7" w:rsidRPr="008065C4">
        <w:rPr>
          <w:rFonts w:ascii="Times New Roman" w:hAnsi="Times New Roman"/>
        </w:rPr>
        <w:t xml:space="preserve"> 8, No. 2.  </w:t>
      </w:r>
      <w:r w:rsidR="00597A3E" w:rsidRPr="008065C4">
        <w:rPr>
          <w:rFonts w:ascii="Times New Roman" w:hAnsi="Times New Roman"/>
        </w:rPr>
        <w:br/>
      </w:r>
      <w:r w:rsidR="00EE542E" w:rsidRPr="008065C4">
        <w:rPr>
          <w:rFonts w:ascii="Times New Roman" w:hAnsi="Times New Roman"/>
        </w:rPr>
        <w:t>Hu</w:t>
      </w:r>
      <w:r w:rsidR="00705ABE" w:rsidRPr="008065C4">
        <w:rPr>
          <w:rFonts w:ascii="Times New Roman" w:hAnsi="Times New Roman"/>
        </w:rPr>
        <w:t xml:space="preserve">ll J., M. </w:t>
      </w:r>
      <w:proofErr w:type="spellStart"/>
      <w:r w:rsidR="00705ABE" w:rsidRPr="008065C4">
        <w:rPr>
          <w:rFonts w:ascii="Times New Roman" w:hAnsi="Times New Roman"/>
        </w:rPr>
        <w:t>Predescu</w:t>
      </w:r>
      <w:proofErr w:type="spellEnd"/>
      <w:r w:rsidR="00705ABE" w:rsidRPr="008065C4">
        <w:rPr>
          <w:rFonts w:ascii="Times New Roman" w:hAnsi="Times New Roman"/>
        </w:rPr>
        <w:t xml:space="preserve"> </w:t>
      </w:r>
      <w:r w:rsidR="00475364" w:rsidRPr="008065C4">
        <w:rPr>
          <w:rFonts w:ascii="Times New Roman" w:hAnsi="Times New Roman"/>
        </w:rPr>
        <w:t>&amp;</w:t>
      </w:r>
      <w:r w:rsidR="00705ABE" w:rsidRPr="008065C4">
        <w:rPr>
          <w:rFonts w:ascii="Times New Roman" w:hAnsi="Times New Roman"/>
        </w:rPr>
        <w:t xml:space="preserve"> A. White (2004)</w:t>
      </w:r>
      <w:r w:rsidR="00EE542E" w:rsidRPr="008065C4">
        <w:rPr>
          <w:rFonts w:ascii="Times New Roman" w:hAnsi="Times New Roman"/>
        </w:rPr>
        <w:t xml:space="preserve"> “The relationship between credit default swap spreads,</w:t>
      </w:r>
      <w:r w:rsidR="00597A3E" w:rsidRPr="008065C4">
        <w:rPr>
          <w:rFonts w:ascii="Times New Roman" w:hAnsi="Times New Roman"/>
        </w:rPr>
        <w:br/>
      </w:r>
      <w:r w:rsidR="00EE542E" w:rsidRPr="008065C4">
        <w:rPr>
          <w:rFonts w:ascii="Times New Roman" w:hAnsi="Times New Roman"/>
        </w:rPr>
        <w:t xml:space="preserve">bond yields, and credit rating announcements”, </w:t>
      </w:r>
      <w:r w:rsidR="00EE542E" w:rsidRPr="008065C4">
        <w:rPr>
          <w:rFonts w:ascii="Times New Roman" w:hAnsi="Times New Roman"/>
          <w:i/>
        </w:rPr>
        <w:t>Journal of Banking and Finance</w:t>
      </w:r>
      <w:r w:rsidR="00EE542E" w:rsidRPr="008065C4">
        <w:rPr>
          <w:rFonts w:ascii="Times New Roman" w:hAnsi="Times New Roman"/>
        </w:rPr>
        <w:t xml:space="preserve"> </w:t>
      </w:r>
      <w:r w:rsidR="00765358" w:rsidRPr="008065C4">
        <w:rPr>
          <w:rFonts w:ascii="Times New Roman" w:hAnsi="Times New Roman"/>
        </w:rPr>
        <w:t xml:space="preserve">, vol. </w:t>
      </w:r>
      <w:r w:rsidR="00EE542E" w:rsidRPr="008065C4">
        <w:rPr>
          <w:rFonts w:ascii="Times New Roman" w:hAnsi="Times New Roman"/>
        </w:rPr>
        <w:t>28, no. 11, p</w:t>
      </w:r>
      <w:r w:rsidR="00765358" w:rsidRPr="008065C4">
        <w:rPr>
          <w:rFonts w:ascii="Times New Roman" w:hAnsi="Times New Roman"/>
        </w:rPr>
        <w:t>p</w:t>
      </w:r>
      <w:r w:rsidR="00EE542E" w:rsidRPr="008065C4">
        <w:rPr>
          <w:rFonts w:ascii="Times New Roman" w:hAnsi="Times New Roman"/>
        </w:rPr>
        <w:t>. 2789-2811.</w:t>
      </w:r>
      <w:r w:rsidR="00597A3E" w:rsidRPr="008065C4">
        <w:rPr>
          <w:rFonts w:ascii="Times New Roman" w:hAnsi="Times New Roman"/>
        </w:rPr>
        <w:br/>
      </w:r>
      <w:r w:rsidR="00087DB1" w:rsidRPr="008065C4">
        <w:rPr>
          <w:rFonts w:ascii="Times New Roman" w:hAnsi="Times New Roman"/>
        </w:rPr>
        <w:t xml:space="preserve">Hu, J.  (2007) “Assessing the Credit Risk of CDOs Backed by Subprime Securities: Ratings Analysts’ Challenges and Solutions”, Mimeo Senior VP of </w:t>
      </w:r>
      <w:proofErr w:type="spellStart"/>
      <w:r w:rsidR="00087DB1" w:rsidRPr="008065C4">
        <w:rPr>
          <w:rFonts w:ascii="Times New Roman" w:hAnsi="Times New Roman"/>
        </w:rPr>
        <w:t>Moodys</w:t>
      </w:r>
      <w:proofErr w:type="spellEnd"/>
      <w:r w:rsidR="00087DB1" w:rsidRPr="008065C4">
        <w:rPr>
          <w:rFonts w:ascii="Times New Roman" w:hAnsi="Times New Roman"/>
        </w:rPr>
        <w:t>.</w:t>
      </w:r>
      <w:r w:rsidR="00597A3E" w:rsidRPr="008065C4">
        <w:rPr>
          <w:rFonts w:ascii="Times New Roman" w:hAnsi="Times New Roman"/>
        </w:rPr>
        <w:br/>
      </w:r>
      <w:proofErr w:type="gramStart"/>
      <w:r w:rsidR="0079277F" w:rsidRPr="008065C4">
        <w:rPr>
          <w:rFonts w:ascii="Times New Roman" w:hAnsi="Times New Roman"/>
        </w:rPr>
        <w:t xml:space="preserve">Jackson P., </w:t>
      </w:r>
      <w:proofErr w:type="spellStart"/>
      <w:r w:rsidR="0079277F" w:rsidRPr="008065C4">
        <w:rPr>
          <w:rFonts w:ascii="Times New Roman" w:hAnsi="Times New Roman"/>
        </w:rPr>
        <w:t>Furfine</w:t>
      </w:r>
      <w:proofErr w:type="spellEnd"/>
      <w:r w:rsidR="0079277F" w:rsidRPr="008065C4">
        <w:rPr>
          <w:rFonts w:ascii="Times New Roman" w:hAnsi="Times New Roman"/>
        </w:rPr>
        <w:t xml:space="preserve">, C., </w:t>
      </w:r>
      <w:proofErr w:type="spellStart"/>
      <w:r w:rsidR="0079277F" w:rsidRPr="008065C4">
        <w:rPr>
          <w:rFonts w:ascii="Times New Roman" w:hAnsi="Times New Roman"/>
        </w:rPr>
        <w:t>Groenveld</w:t>
      </w:r>
      <w:proofErr w:type="spellEnd"/>
      <w:r w:rsidR="0079277F" w:rsidRPr="008065C4">
        <w:rPr>
          <w:rFonts w:ascii="Times New Roman" w:hAnsi="Times New Roman"/>
        </w:rPr>
        <w:t xml:space="preserve">, H., Hancock, D., Jones, D., </w:t>
      </w:r>
      <w:proofErr w:type="spellStart"/>
      <w:r w:rsidR="0079277F" w:rsidRPr="008065C4">
        <w:rPr>
          <w:rFonts w:ascii="Times New Roman" w:hAnsi="Times New Roman"/>
        </w:rPr>
        <w:t>Perraudin</w:t>
      </w:r>
      <w:proofErr w:type="spellEnd"/>
      <w:r w:rsidR="0079277F" w:rsidRPr="008065C4">
        <w:rPr>
          <w:rFonts w:ascii="Times New Roman" w:hAnsi="Times New Roman"/>
        </w:rPr>
        <w:t xml:space="preserve">, W., </w:t>
      </w:r>
      <w:proofErr w:type="spellStart"/>
      <w:r w:rsidR="0079277F" w:rsidRPr="008065C4">
        <w:rPr>
          <w:rFonts w:ascii="Times New Roman" w:hAnsi="Times New Roman"/>
        </w:rPr>
        <w:t>Radecki</w:t>
      </w:r>
      <w:proofErr w:type="spellEnd"/>
      <w:r w:rsidR="0079277F" w:rsidRPr="008065C4">
        <w:rPr>
          <w:rFonts w:ascii="Times New Roman" w:hAnsi="Times New Roman"/>
        </w:rPr>
        <w:t xml:space="preserve">, L. </w:t>
      </w:r>
      <w:r w:rsidR="00475364" w:rsidRPr="008065C4">
        <w:rPr>
          <w:rFonts w:ascii="Times New Roman" w:hAnsi="Times New Roman"/>
        </w:rPr>
        <w:t xml:space="preserve">&amp; </w:t>
      </w:r>
      <w:proofErr w:type="spellStart"/>
      <w:r w:rsidR="0079277F" w:rsidRPr="008065C4">
        <w:rPr>
          <w:rFonts w:ascii="Times New Roman" w:hAnsi="Times New Roman"/>
        </w:rPr>
        <w:t>Yoneyama</w:t>
      </w:r>
      <w:proofErr w:type="spellEnd"/>
      <w:r w:rsidR="0079277F" w:rsidRPr="008065C4">
        <w:rPr>
          <w:rFonts w:ascii="Times New Roman" w:hAnsi="Times New Roman"/>
        </w:rPr>
        <w:t xml:space="preserve">, M. (1999) Capital requirements and bank behaviour: the impact of the Basle Accord, </w:t>
      </w:r>
      <w:r w:rsidR="0079277F" w:rsidRPr="008065C4">
        <w:rPr>
          <w:rFonts w:ascii="Times New Roman" w:hAnsi="Times New Roman"/>
          <w:i/>
          <w:iCs/>
        </w:rPr>
        <w:t>Working Paper Number 1</w:t>
      </w:r>
      <w:r w:rsidR="0079277F" w:rsidRPr="008065C4">
        <w:rPr>
          <w:rFonts w:ascii="Times New Roman" w:hAnsi="Times New Roman"/>
        </w:rPr>
        <w:t>, Basle Committee on Banking Supervision.</w:t>
      </w:r>
      <w:proofErr w:type="gramEnd"/>
      <w:r w:rsidR="00644AC7" w:rsidRPr="008065C4">
        <w:rPr>
          <w:rFonts w:ascii="Times New Roman" w:hAnsi="Times New Roman"/>
        </w:rPr>
        <w:br/>
      </w:r>
      <w:r w:rsidR="001662D4" w:rsidRPr="008065C4">
        <w:rPr>
          <w:rFonts w:ascii="Times New Roman" w:hAnsi="Times New Roman"/>
        </w:rPr>
        <w:t xml:space="preserve">Johnson, J. (2006), </w:t>
      </w:r>
      <w:proofErr w:type="gramStart"/>
      <w:r w:rsidR="001662D4" w:rsidRPr="008065C4">
        <w:rPr>
          <w:rFonts w:ascii="Times New Roman" w:hAnsi="Times New Roman"/>
        </w:rPr>
        <w:t xml:space="preserve">“ </w:t>
      </w:r>
      <w:proofErr w:type="spellStart"/>
      <w:r w:rsidR="001662D4" w:rsidRPr="008065C4">
        <w:rPr>
          <w:rFonts w:ascii="Times New Roman" w:hAnsi="Times New Roman"/>
        </w:rPr>
        <w:t>Hypernetworks</w:t>
      </w:r>
      <w:proofErr w:type="spellEnd"/>
      <w:proofErr w:type="gramEnd"/>
      <w:r w:rsidR="001662D4" w:rsidRPr="008065C4">
        <w:rPr>
          <w:rFonts w:ascii="Times New Roman" w:hAnsi="Times New Roman"/>
        </w:rPr>
        <w:t xml:space="preserve"> for Reconstructing the Dynamics of Multi-Level Systems”,  </w:t>
      </w:r>
      <w:r w:rsidR="001662D4" w:rsidRPr="008065C4">
        <w:rPr>
          <w:rFonts w:ascii="Times New Roman" w:hAnsi="Times New Roman"/>
          <w:i/>
        </w:rPr>
        <w:t xml:space="preserve">Paper presented at European Conference on Complex Systems , Oxford University Sept 2006. </w:t>
      </w:r>
      <w:r w:rsidR="001662D4" w:rsidRPr="008065C4">
        <w:rPr>
          <w:rFonts w:ascii="Times New Roman" w:hAnsi="Times New Roman"/>
          <w:i/>
        </w:rPr>
        <w:br/>
      </w:r>
      <w:r w:rsidR="00080BFE" w:rsidRPr="008065C4">
        <w:rPr>
          <w:rFonts w:ascii="Times New Roman" w:hAnsi="Times New Roman"/>
        </w:rPr>
        <w:t xml:space="preserve">Johnson, J. (2011), </w:t>
      </w:r>
      <w:proofErr w:type="spellStart"/>
      <w:r w:rsidR="00080BFE" w:rsidRPr="008065C4">
        <w:rPr>
          <w:rFonts w:ascii="Times New Roman" w:hAnsi="Times New Roman"/>
          <w:bCs/>
          <w:color w:val="000000"/>
        </w:rPr>
        <w:t>Hypernetworks</w:t>
      </w:r>
      <w:proofErr w:type="spellEnd"/>
      <w:r w:rsidR="00080BFE" w:rsidRPr="008065C4">
        <w:rPr>
          <w:rFonts w:ascii="Times New Roman" w:hAnsi="Times New Roman"/>
          <w:bCs/>
          <w:color w:val="000000"/>
        </w:rPr>
        <w:t xml:space="preserve"> in the Science of Complex Systems (Series on Complexity Science) </w:t>
      </w:r>
      <w:r w:rsidR="00080BFE" w:rsidRPr="008065C4">
        <w:rPr>
          <w:rFonts w:ascii="Times New Roman" w:hAnsi="Times New Roman"/>
        </w:rPr>
        <w:t>World Scientific Publishing</w:t>
      </w:r>
      <w:r w:rsidR="00080BFE" w:rsidRPr="008065C4">
        <w:rPr>
          <w:rFonts w:ascii="Times New Roman" w:hAnsi="Times New Roman"/>
          <w:b/>
          <w:bCs/>
          <w:color w:val="000000"/>
        </w:rPr>
        <w:t xml:space="preserve"> </w:t>
      </w:r>
      <w:r w:rsidR="009B3CD0" w:rsidRPr="008065C4">
        <w:rPr>
          <w:rFonts w:ascii="Times New Roman" w:hAnsi="Times New Roman"/>
          <w:b/>
          <w:bCs/>
          <w:color w:val="000000"/>
        </w:rPr>
        <w:br/>
      </w:r>
      <w:r w:rsidR="00B0061F" w:rsidRPr="008065C4">
        <w:rPr>
          <w:rFonts w:ascii="Times New Roman" w:hAnsi="Times New Roman"/>
        </w:rPr>
        <w:t>Jones, D. (2000): “Emerging Problems with the Basel Capital Accord: Regulatory Capital Arbitrage and Related Issues”, No 24, pages 35-58.</w:t>
      </w:r>
      <w:r w:rsidR="00B0061F" w:rsidRPr="008065C4">
        <w:rPr>
          <w:rFonts w:ascii="Times New Roman" w:hAnsi="Times New Roman"/>
        </w:rPr>
        <w:br/>
      </w:r>
      <w:r w:rsidR="004D2069" w:rsidRPr="008065C4">
        <w:rPr>
          <w:rFonts w:ascii="Times New Roman" w:hAnsi="Times New Roman"/>
        </w:rPr>
        <w:t>The Federal Reserve Board (September 2006) "Basel II Capital Accord: Notice of Proposed Rulemaking (NPR)" September 5, 2006</w:t>
      </w:r>
      <w:r w:rsidR="00897A2B" w:rsidRPr="008065C4">
        <w:rPr>
          <w:rFonts w:ascii="Times New Roman" w:hAnsi="Times New Roman"/>
        </w:rPr>
        <w:t xml:space="preserve"> </w:t>
      </w:r>
      <w:hyperlink r:id="rId24" w:history="1">
        <w:r w:rsidR="004D2069" w:rsidRPr="008065C4">
          <w:rPr>
            <w:rStyle w:val="Hyperlink"/>
            <w:rFonts w:ascii="Times New Roman" w:hAnsi="Times New Roman"/>
          </w:rPr>
          <w:t>http://www.federalreserve.gov/generalinfo/basel2/npr_20060905/npr/section_1.htm</w:t>
        </w:r>
      </w:hyperlink>
    </w:p>
    <w:p w:rsidR="00CB47E6" w:rsidRPr="008065C4" w:rsidRDefault="00DE54A1" w:rsidP="00CB47E6">
      <w:pPr>
        <w:autoSpaceDE w:val="0"/>
        <w:autoSpaceDN w:val="0"/>
        <w:adjustRightInd w:val="0"/>
        <w:spacing w:after="0" w:line="360" w:lineRule="auto"/>
        <w:rPr>
          <w:rFonts w:ascii="Times New Roman" w:hAnsi="Times New Roman"/>
          <w:lang w:eastAsia="en-GB"/>
        </w:rPr>
      </w:pPr>
      <w:proofErr w:type="spellStart"/>
      <w:r w:rsidRPr="008065C4">
        <w:rPr>
          <w:rFonts w:ascii="Times New Roman" w:hAnsi="Times New Roman"/>
          <w:iCs/>
          <w:lang w:eastAsia="en-GB"/>
        </w:rPr>
        <w:t>Lall</w:t>
      </w:r>
      <w:proofErr w:type="spellEnd"/>
      <w:r w:rsidRPr="008065C4">
        <w:rPr>
          <w:rFonts w:ascii="Times New Roman" w:hAnsi="Times New Roman"/>
          <w:iCs/>
          <w:lang w:eastAsia="en-GB"/>
        </w:rPr>
        <w:t>, R., 2009,</w:t>
      </w:r>
      <w:r w:rsidR="009E2533" w:rsidRPr="008065C4">
        <w:rPr>
          <w:rFonts w:ascii="Times New Roman" w:hAnsi="Times New Roman"/>
          <w:iCs/>
          <w:lang w:eastAsia="en-GB"/>
        </w:rPr>
        <w:t xml:space="preserve">”Why Basel II Failed </w:t>
      </w:r>
      <w:r w:rsidR="00475364" w:rsidRPr="008065C4">
        <w:rPr>
          <w:rFonts w:ascii="Times New Roman" w:hAnsi="Times New Roman"/>
          <w:iCs/>
          <w:lang w:eastAsia="en-GB"/>
        </w:rPr>
        <w:t>&amp;</w:t>
      </w:r>
      <w:r w:rsidR="009E2533" w:rsidRPr="008065C4">
        <w:rPr>
          <w:rFonts w:ascii="Times New Roman" w:hAnsi="Times New Roman"/>
          <w:iCs/>
          <w:lang w:eastAsia="en-GB"/>
        </w:rPr>
        <w:t xml:space="preserve"> Why Any Basel III is Doomed “, Global Economic Governance”, Working Paper 2009/52, Oxford University. </w:t>
      </w:r>
      <w:r w:rsidR="00644AC7" w:rsidRPr="008065C4">
        <w:rPr>
          <w:rFonts w:ascii="Times New Roman" w:hAnsi="Times New Roman"/>
          <w:iCs/>
          <w:lang w:eastAsia="en-GB"/>
        </w:rPr>
        <w:br/>
      </w:r>
      <w:r w:rsidR="002D424A" w:rsidRPr="008065C4">
        <w:rPr>
          <w:rFonts w:ascii="Times New Roman" w:hAnsi="Times New Roman"/>
          <w:iCs/>
          <w:lang w:eastAsia="en-GB"/>
        </w:rPr>
        <w:t xml:space="preserve">Lucas, D., L.S. Goodman, </w:t>
      </w:r>
      <w:r w:rsidR="00475364" w:rsidRPr="008065C4">
        <w:rPr>
          <w:rFonts w:ascii="Times New Roman" w:hAnsi="Times New Roman"/>
          <w:iCs/>
          <w:lang w:eastAsia="en-GB"/>
        </w:rPr>
        <w:t xml:space="preserve">&amp; </w:t>
      </w:r>
      <w:r w:rsidR="002D424A" w:rsidRPr="008065C4">
        <w:rPr>
          <w:rFonts w:ascii="Times New Roman" w:hAnsi="Times New Roman"/>
          <w:iCs/>
          <w:lang w:eastAsia="en-GB"/>
        </w:rPr>
        <w:t xml:space="preserve">F. </w:t>
      </w:r>
      <w:proofErr w:type="spellStart"/>
      <w:r w:rsidR="002D424A" w:rsidRPr="008065C4">
        <w:rPr>
          <w:rFonts w:ascii="Times New Roman" w:hAnsi="Times New Roman"/>
          <w:iCs/>
          <w:lang w:eastAsia="en-GB"/>
        </w:rPr>
        <w:t>Fabozzi</w:t>
      </w:r>
      <w:proofErr w:type="spellEnd"/>
      <w:r w:rsidR="002D424A" w:rsidRPr="008065C4">
        <w:rPr>
          <w:rFonts w:ascii="Times New Roman" w:hAnsi="Times New Roman"/>
          <w:iCs/>
          <w:lang w:eastAsia="en-GB"/>
        </w:rPr>
        <w:t xml:space="preserve"> (2007)</w:t>
      </w:r>
      <w:r w:rsidR="00765358" w:rsidRPr="008065C4">
        <w:rPr>
          <w:rFonts w:ascii="Times New Roman" w:hAnsi="Times New Roman"/>
          <w:iCs/>
          <w:lang w:eastAsia="en-GB"/>
        </w:rPr>
        <w:t xml:space="preserve"> “</w:t>
      </w:r>
      <w:r w:rsidR="002D424A" w:rsidRPr="008065C4">
        <w:rPr>
          <w:rFonts w:ascii="Times New Roman" w:hAnsi="Times New Roman"/>
          <w:iCs/>
          <w:lang w:eastAsia="en-GB"/>
        </w:rPr>
        <w:t>Collateralized Debt Obligation and Credit Risk Transfer”, Yale ICF Working Paper No. 07-06.</w:t>
      </w:r>
      <w:r w:rsidR="00644AC7" w:rsidRPr="008065C4">
        <w:rPr>
          <w:rFonts w:ascii="Times New Roman" w:hAnsi="Times New Roman"/>
          <w:iCs/>
          <w:lang w:eastAsia="en-GB"/>
        </w:rPr>
        <w:br/>
      </w:r>
      <w:r w:rsidR="00E63ECE" w:rsidRPr="008065C4">
        <w:rPr>
          <w:rFonts w:ascii="Times New Roman" w:hAnsi="Times New Roman"/>
        </w:rPr>
        <w:t>Markose, S. M. (2005), “Computability and evolutionary complexity: Markets as complex adaptive systems (CAS)”, Economic Jo</w:t>
      </w:r>
      <w:r w:rsidR="00644AC7" w:rsidRPr="008065C4">
        <w:rPr>
          <w:rFonts w:ascii="Times New Roman" w:hAnsi="Times New Roman"/>
        </w:rPr>
        <w:t>urnal, Vol. 115, pp. F159-F192.</w:t>
      </w:r>
      <w:r w:rsidR="00644AC7" w:rsidRPr="008065C4">
        <w:rPr>
          <w:rFonts w:ascii="Times New Roman" w:hAnsi="Times New Roman"/>
        </w:rPr>
        <w:br/>
      </w:r>
      <w:r w:rsidR="00D84B5C" w:rsidRPr="008065C4">
        <w:rPr>
          <w:rFonts w:ascii="Times New Roman" w:hAnsi="Times New Roman"/>
        </w:rPr>
        <w:t xml:space="preserve">Markose, S.M, S. Giansante, M. Gatkowski </w:t>
      </w:r>
      <w:r w:rsidR="00475364" w:rsidRPr="008065C4">
        <w:rPr>
          <w:rFonts w:ascii="Times New Roman" w:hAnsi="Times New Roman"/>
        </w:rPr>
        <w:t>&amp;</w:t>
      </w:r>
      <w:r w:rsidR="00D84B5C" w:rsidRPr="008065C4">
        <w:rPr>
          <w:rFonts w:ascii="Times New Roman" w:hAnsi="Times New Roman"/>
        </w:rPr>
        <w:t xml:space="preserve"> A. R. </w:t>
      </w:r>
      <w:proofErr w:type="spellStart"/>
      <w:r w:rsidR="00D84B5C" w:rsidRPr="008065C4">
        <w:rPr>
          <w:rFonts w:ascii="Times New Roman" w:hAnsi="Times New Roman"/>
        </w:rPr>
        <w:t>Shaghagi</w:t>
      </w:r>
      <w:proofErr w:type="spellEnd"/>
      <w:r w:rsidR="00D84B5C" w:rsidRPr="008065C4">
        <w:rPr>
          <w:rFonts w:ascii="Times New Roman" w:hAnsi="Times New Roman"/>
        </w:rPr>
        <w:t xml:space="preserve">, </w:t>
      </w:r>
      <w:r w:rsidR="00FA3218" w:rsidRPr="008065C4">
        <w:rPr>
          <w:rFonts w:ascii="Times New Roman" w:hAnsi="Times New Roman"/>
        </w:rPr>
        <w:t>(</w:t>
      </w:r>
      <w:r w:rsidR="00D84B5C" w:rsidRPr="008065C4">
        <w:rPr>
          <w:rFonts w:ascii="Times New Roman" w:hAnsi="Times New Roman"/>
        </w:rPr>
        <w:t>2010</w:t>
      </w:r>
      <w:r w:rsidR="00FA3218" w:rsidRPr="008065C4">
        <w:rPr>
          <w:rFonts w:ascii="Times New Roman" w:hAnsi="Times New Roman"/>
        </w:rPr>
        <w:t>)</w:t>
      </w:r>
      <w:r w:rsidR="00D84B5C" w:rsidRPr="008065C4">
        <w:rPr>
          <w:rFonts w:ascii="Times New Roman" w:hAnsi="Times New Roman"/>
        </w:rPr>
        <w:t xml:space="preserve"> “Too Interconnected </w:t>
      </w:r>
      <w:proofErr w:type="gramStart"/>
      <w:r w:rsidR="00D84B5C" w:rsidRPr="008065C4">
        <w:rPr>
          <w:rFonts w:ascii="Times New Roman" w:hAnsi="Times New Roman"/>
        </w:rPr>
        <w:t>To</w:t>
      </w:r>
      <w:proofErr w:type="gramEnd"/>
      <w:r w:rsidR="00D84B5C" w:rsidRPr="008065C4">
        <w:rPr>
          <w:rFonts w:ascii="Times New Roman" w:hAnsi="Times New Roman"/>
        </w:rPr>
        <w:t xml:space="preserve"> Fail: </w:t>
      </w:r>
      <w:r w:rsidR="00D84B5C" w:rsidRPr="008065C4">
        <w:rPr>
          <w:rFonts w:ascii="Times New Roman" w:hAnsi="Times New Roman"/>
        </w:rPr>
        <w:lastRenderedPageBreak/>
        <w:t xml:space="preserve">Financial contagion and systemic risk </w:t>
      </w:r>
      <w:r w:rsidR="00D76217" w:rsidRPr="008065C4">
        <w:rPr>
          <w:rFonts w:ascii="Times New Roman" w:hAnsi="Times New Roman"/>
        </w:rPr>
        <w:t>i</w:t>
      </w:r>
      <w:r w:rsidR="00D84B5C" w:rsidRPr="008065C4">
        <w:rPr>
          <w:rFonts w:ascii="Times New Roman" w:hAnsi="Times New Roman"/>
        </w:rPr>
        <w:t xml:space="preserve">n network </w:t>
      </w:r>
      <w:r w:rsidR="00D76217" w:rsidRPr="008065C4">
        <w:rPr>
          <w:rFonts w:ascii="Times New Roman" w:hAnsi="Times New Roman"/>
        </w:rPr>
        <w:t>m</w:t>
      </w:r>
      <w:r w:rsidR="00D84B5C" w:rsidRPr="008065C4">
        <w:rPr>
          <w:rFonts w:ascii="Times New Roman" w:hAnsi="Times New Roman"/>
        </w:rPr>
        <w:t>odel of CDS and other credit enhancement obligations of US banks”, Economics Department, University of Essex, DP 683, Feb 2010.</w:t>
      </w:r>
      <w:r w:rsidR="00644AC7" w:rsidRPr="008065C4">
        <w:rPr>
          <w:rFonts w:ascii="Times New Roman" w:hAnsi="Times New Roman"/>
          <w:iCs/>
          <w:lang w:eastAsia="en-GB"/>
        </w:rPr>
        <w:br/>
      </w:r>
      <w:r w:rsidR="00DE4D1C" w:rsidRPr="008065C4">
        <w:rPr>
          <w:rFonts w:ascii="Times New Roman" w:hAnsi="Times New Roman"/>
          <w:iCs/>
          <w:lang w:eastAsia="en-GB"/>
        </w:rPr>
        <w:t>Markose, S.</w:t>
      </w:r>
      <w:r w:rsidR="00801F94" w:rsidRPr="008065C4">
        <w:rPr>
          <w:rFonts w:ascii="Times New Roman" w:hAnsi="Times New Roman"/>
          <w:iCs/>
          <w:lang w:eastAsia="en-GB"/>
        </w:rPr>
        <w:t>,</w:t>
      </w:r>
      <w:r w:rsidR="00DE4D1C" w:rsidRPr="008065C4">
        <w:rPr>
          <w:rFonts w:ascii="Times New Roman" w:hAnsi="Times New Roman"/>
          <w:iCs/>
          <w:lang w:eastAsia="en-GB"/>
        </w:rPr>
        <w:t>S. Giansante</w:t>
      </w:r>
      <w:r w:rsidR="00801F94" w:rsidRPr="008065C4">
        <w:rPr>
          <w:rFonts w:ascii="Times New Roman" w:hAnsi="Times New Roman"/>
          <w:iCs/>
          <w:lang w:eastAsia="en-GB"/>
        </w:rPr>
        <w:t xml:space="preserve"> </w:t>
      </w:r>
      <w:r w:rsidR="00475364" w:rsidRPr="008065C4">
        <w:rPr>
          <w:rFonts w:ascii="Times New Roman" w:hAnsi="Times New Roman"/>
          <w:iCs/>
          <w:lang w:eastAsia="en-GB"/>
        </w:rPr>
        <w:t>&amp;</w:t>
      </w:r>
      <w:r w:rsidR="00801F94" w:rsidRPr="008065C4">
        <w:rPr>
          <w:rFonts w:ascii="Times New Roman" w:hAnsi="Times New Roman"/>
          <w:iCs/>
          <w:lang w:eastAsia="en-GB"/>
        </w:rPr>
        <w:t xml:space="preserve"> Ali Rais Shaghaghi</w:t>
      </w:r>
      <w:r w:rsidR="00DE4D1C" w:rsidRPr="008065C4">
        <w:rPr>
          <w:rFonts w:ascii="Times New Roman" w:hAnsi="Times New Roman"/>
          <w:iCs/>
          <w:lang w:eastAsia="en-GB"/>
        </w:rPr>
        <w:t xml:space="preserve"> ( 2011) “ </w:t>
      </w:r>
      <w:r w:rsidR="006148EA" w:rsidRPr="008065C4">
        <w:rPr>
          <w:rFonts w:ascii="Times New Roman" w:hAnsi="Times New Roman"/>
          <w:iCs/>
          <w:lang w:eastAsia="en-GB"/>
        </w:rPr>
        <w:t>‘</w:t>
      </w:r>
      <w:r w:rsidR="00DE4D1C" w:rsidRPr="008065C4">
        <w:rPr>
          <w:rFonts w:ascii="Times New Roman" w:hAnsi="Times New Roman"/>
          <w:iCs/>
          <w:lang w:eastAsia="en-GB"/>
        </w:rPr>
        <w:t>Too  Interconnected To Fail</w:t>
      </w:r>
      <w:r w:rsidR="006148EA" w:rsidRPr="008065C4">
        <w:rPr>
          <w:rFonts w:ascii="Times New Roman" w:hAnsi="Times New Roman"/>
          <w:iCs/>
          <w:lang w:eastAsia="en-GB"/>
        </w:rPr>
        <w:t>’</w:t>
      </w:r>
      <w:r w:rsidR="00801F94" w:rsidRPr="008065C4">
        <w:rPr>
          <w:rFonts w:ascii="Times New Roman" w:hAnsi="Times New Roman"/>
          <w:i/>
          <w:iCs/>
          <w:lang w:eastAsia="en-GB"/>
        </w:rPr>
        <w:t xml:space="preserve"> </w:t>
      </w:r>
      <w:r w:rsidR="00801F94" w:rsidRPr="008065C4">
        <w:rPr>
          <w:rFonts w:ascii="Times New Roman" w:hAnsi="Times New Roman"/>
          <w:iCs/>
          <w:lang w:eastAsia="en-GB"/>
        </w:rPr>
        <w:t xml:space="preserve"> Financial </w:t>
      </w:r>
      <w:r w:rsidR="00DE4D1C" w:rsidRPr="008065C4">
        <w:rPr>
          <w:rFonts w:ascii="Times New Roman" w:hAnsi="Times New Roman"/>
          <w:iCs/>
          <w:lang w:eastAsia="en-GB"/>
        </w:rPr>
        <w:t xml:space="preserve">Network </w:t>
      </w:r>
      <w:r w:rsidR="00801F94" w:rsidRPr="008065C4">
        <w:rPr>
          <w:rFonts w:ascii="Times New Roman" w:hAnsi="Times New Roman"/>
          <w:iCs/>
          <w:lang w:eastAsia="en-GB"/>
        </w:rPr>
        <w:t>of</w:t>
      </w:r>
      <w:r w:rsidR="00DE4D1C" w:rsidRPr="008065C4">
        <w:rPr>
          <w:rFonts w:ascii="Times New Roman" w:hAnsi="Times New Roman"/>
          <w:iCs/>
          <w:lang w:eastAsia="en-GB"/>
        </w:rPr>
        <w:t xml:space="preserve"> US CDS Market</w:t>
      </w:r>
      <w:r w:rsidR="00801F94" w:rsidRPr="008065C4">
        <w:rPr>
          <w:rFonts w:ascii="Times New Roman" w:hAnsi="Times New Roman"/>
          <w:iCs/>
          <w:lang w:eastAsia="en-GB"/>
        </w:rPr>
        <w:t>: Topological Fragility and Systemic Risk</w:t>
      </w:r>
      <w:r w:rsidR="00543D33" w:rsidRPr="008065C4">
        <w:rPr>
          <w:rFonts w:ascii="Times New Roman" w:hAnsi="Times New Roman"/>
          <w:iCs/>
          <w:lang w:eastAsia="en-GB"/>
        </w:rPr>
        <w:t>”</w:t>
      </w:r>
      <w:r w:rsidR="00DE4D1C" w:rsidRPr="008065C4">
        <w:rPr>
          <w:rFonts w:ascii="Times New Roman" w:hAnsi="Times New Roman"/>
          <w:i/>
          <w:iCs/>
          <w:lang w:eastAsia="en-GB"/>
        </w:rPr>
        <w:t xml:space="preserve">, </w:t>
      </w:r>
      <w:r w:rsidR="00DE4D1C" w:rsidRPr="008065C4">
        <w:rPr>
          <w:rFonts w:ascii="Times New Roman" w:hAnsi="Times New Roman"/>
          <w:iCs/>
          <w:lang w:eastAsia="en-GB"/>
        </w:rPr>
        <w:t xml:space="preserve"> </w:t>
      </w:r>
      <w:r w:rsidR="00DE4D1C" w:rsidRPr="008065C4">
        <w:rPr>
          <w:rFonts w:ascii="Times New Roman" w:hAnsi="Times New Roman"/>
          <w:i/>
          <w:iCs/>
          <w:lang w:eastAsia="en-GB"/>
        </w:rPr>
        <w:t>Submitted  Journal of Economic Behaviour and Organization ,</w:t>
      </w:r>
      <w:r w:rsidR="00543D33" w:rsidRPr="008065C4">
        <w:rPr>
          <w:rFonts w:ascii="Times New Roman" w:hAnsi="Times New Roman"/>
          <w:iCs/>
          <w:lang w:eastAsia="en-GB"/>
        </w:rPr>
        <w:t>Special Issue on</w:t>
      </w:r>
      <w:r w:rsidR="00543D33" w:rsidRPr="008065C4">
        <w:rPr>
          <w:rFonts w:ascii="Times New Roman" w:hAnsi="Times New Roman"/>
          <w:i/>
          <w:iCs/>
          <w:lang w:eastAsia="en-GB"/>
        </w:rPr>
        <w:t xml:space="preserve"> </w:t>
      </w:r>
      <w:r w:rsidR="00DE4D1C" w:rsidRPr="008065C4">
        <w:rPr>
          <w:rFonts w:ascii="Times New Roman" w:hAnsi="Times New Roman"/>
          <w:i/>
          <w:iCs/>
          <w:lang w:eastAsia="en-GB"/>
        </w:rPr>
        <w:t xml:space="preserve"> </w:t>
      </w:r>
      <w:r w:rsidR="00543D33" w:rsidRPr="008065C4">
        <w:rPr>
          <w:rFonts w:ascii="Times New Roman" w:hAnsi="Times New Roman"/>
        </w:rPr>
        <w:t>"Financial instability and contagion".</w:t>
      </w:r>
      <w:r w:rsidR="00644AC7" w:rsidRPr="008065C4">
        <w:rPr>
          <w:rFonts w:ascii="Times New Roman" w:hAnsi="Times New Roman"/>
          <w:iCs/>
          <w:lang w:eastAsia="en-GB"/>
        </w:rPr>
        <w:br/>
      </w:r>
      <w:r w:rsidR="009E2533" w:rsidRPr="008065C4">
        <w:rPr>
          <w:rFonts w:ascii="Times New Roman" w:hAnsi="Times New Roman"/>
          <w:iCs/>
          <w:lang w:eastAsia="en-GB"/>
        </w:rPr>
        <w:t xml:space="preserve">Markose, S. </w:t>
      </w:r>
      <w:r w:rsidR="00DE4D1C" w:rsidRPr="008065C4">
        <w:rPr>
          <w:rFonts w:ascii="Times New Roman" w:hAnsi="Times New Roman"/>
          <w:iCs/>
          <w:lang w:eastAsia="en-GB"/>
        </w:rPr>
        <w:t>(2011) “</w:t>
      </w:r>
      <w:r w:rsidR="005D1D8D" w:rsidRPr="008065C4">
        <w:rPr>
          <w:rFonts w:ascii="Times New Roman" w:hAnsi="Times New Roman"/>
        </w:rPr>
        <w:t xml:space="preserve">Multi-Agent Financial Network Analyses </w:t>
      </w:r>
      <w:proofErr w:type="gramStart"/>
      <w:r w:rsidR="005D1D8D" w:rsidRPr="008065C4">
        <w:rPr>
          <w:rFonts w:ascii="Times New Roman" w:hAnsi="Times New Roman"/>
        </w:rPr>
        <w:t>For</w:t>
      </w:r>
      <w:proofErr w:type="gramEnd"/>
      <w:r w:rsidR="005D1D8D" w:rsidRPr="008065C4">
        <w:rPr>
          <w:rFonts w:ascii="Times New Roman" w:hAnsi="Times New Roman"/>
        </w:rPr>
        <w:t xml:space="preserve"> Systemic Risk Management Post 2007 Financial Crisis: A New Complexity Perspective For G10 and BRICs”, Talk given at the Reserve Bank of India Financial Stability Division, </w:t>
      </w:r>
      <w:r w:rsidR="002D110D" w:rsidRPr="008065C4">
        <w:rPr>
          <w:rFonts w:ascii="Times New Roman" w:hAnsi="Times New Roman"/>
        </w:rPr>
        <w:t xml:space="preserve">22-23 </w:t>
      </w:r>
      <w:r w:rsidR="006A6944" w:rsidRPr="008065C4">
        <w:rPr>
          <w:rFonts w:ascii="Times New Roman" w:hAnsi="Times New Roman"/>
        </w:rPr>
        <w:t xml:space="preserve">August 2010. </w:t>
      </w:r>
      <w:r w:rsidR="000D3B6E" w:rsidRPr="008065C4">
        <w:rPr>
          <w:rFonts w:ascii="Times New Roman" w:hAnsi="Times New Roman"/>
        </w:rPr>
        <w:br/>
      </w:r>
      <w:r w:rsidR="00B50939" w:rsidRPr="008065C4">
        <w:rPr>
          <w:rFonts w:ascii="Times New Roman" w:hAnsi="Times New Roman"/>
        </w:rPr>
        <w:t xml:space="preserve">Markose, S. (2012) “Systemic Risk </w:t>
      </w:r>
      <w:proofErr w:type="gramStart"/>
      <w:r w:rsidR="00B50939" w:rsidRPr="008065C4">
        <w:rPr>
          <w:rFonts w:ascii="Times New Roman" w:hAnsi="Times New Roman"/>
        </w:rPr>
        <w:t>From</w:t>
      </w:r>
      <w:proofErr w:type="gramEnd"/>
      <w:r w:rsidR="00B50939" w:rsidRPr="008065C4">
        <w:rPr>
          <w:rFonts w:ascii="Times New Roman" w:hAnsi="Times New Roman"/>
        </w:rPr>
        <w:t xml:space="preserve"> Global Financial Derivatives: </w:t>
      </w:r>
      <w:r w:rsidR="006148EA" w:rsidRPr="008065C4">
        <w:rPr>
          <w:rFonts w:ascii="Times New Roman" w:hAnsi="Times New Roman"/>
        </w:rPr>
        <w:t>A Network Analysis of Contagion and Its Mitigation With Super</w:t>
      </w:r>
      <w:r w:rsidR="00765358" w:rsidRPr="008065C4">
        <w:rPr>
          <w:rFonts w:ascii="Times New Roman" w:hAnsi="Times New Roman"/>
        </w:rPr>
        <w:t>-</w:t>
      </w:r>
      <w:r w:rsidR="006148EA" w:rsidRPr="008065C4">
        <w:rPr>
          <w:rFonts w:ascii="Times New Roman" w:hAnsi="Times New Roman"/>
        </w:rPr>
        <w:t xml:space="preserve">spreader Tax”, </w:t>
      </w:r>
      <w:r w:rsidR="00B50939" w:rsidRPr="008065C4">
        <w:rPr>
          <w:rFonts w:ascii="Times New Roman" w:hAnsi="Times New Roman"/>
          <w:i/>
        </w:rPr>
        <w:t xml:space="preserve">Submitted to IMF Discussion Papers. </w:t>
      </w:r>
      <w:r w:rsidR="00597A3E" w:rsidRPr="008065C4">
        <w:rPr>
          <w:rFonts w:ascii="Times New Roman" w:hAnsi="Times New Roman"/>
          <w:iCs/>
          <w:lang w:eastAsia="en-GB"/>
        </w:rPr>
        <w:br/>
      </w:r>
      <w:proofErr w:type="spellStart"/>
      <w:r w:rsidR="00CB47E6" w:rsidRPr="008065C4">
        <w:rPr>
          <w:rFonts w:ascii="Times New Roman" w:hAnsi="Times New Roman"/>
          <w:lang w:eastAsia="en-GB"/>
        </w:rPr>
        <w:t>Moussa</w:t>
      </w:r>
      <w:proofErr w:type="spellEnd"/>
      <w:r w:rsidR="00CB47E6" w:rsidRPr="008065C4">
        <w:rPr>
          <w:rFonts w:ascii="Times New Roman" w:hAnsi="Times New Roman"/>
          <w:lang w:eastAsia="en-GB"/>
        </w:rPr>
        <w:t xml:space="preserve">, A. (2011) </w:t>
      </w:r>
      <w:proofErr w:type="gramStart"/>
      <w:r w:rsidR="00CB47E6" w:rsidRPr="008065C4">
        <w:rPr>
          <w:rFonts w:ascii="Times New Roman" w:hAnsi="Times New Roman"/>
          <w:lang w:eastAsia="en-GB"/>
        </w:rPr>
        <w:t>“ Contagion</w:t>
      </w:r>
      <w:proofErr w:type="gramEnd"/>
      <w:r w:rsidR="00CB47E6" w:rsidRPr="008065C4">
        <w:rPr>
          <w:rFonts w:ascii="Times New Roman" w:hAnsi="Times New Roman"/>
          <w:lang w:eastAsia="en-GB"/>
        </w:rPr>
        <w:t xml:space="preserve"> and Systemic Risk in Financial Networks”, PhD Dissertation, Columbia University.</w:t>
      </w:r>
    </w:p>
    <w:p w:rsidR="00687AA3" w:rsidRPr="00687AA3" w:rsidRDefault="00940A70" w:rsidP="00687AA3">
      <w:pPr>
        <w:autoSpaceDE w:val="0"/>
        <w:autoSpaceDN w:val="0"/>
        <w:adjustRightInd w:val="0"/>
        <w:spacing w:after="0" w:line="360" w:lineRule="auto"/>
        <w:rPr>
          <w:rFonts w:ascii="Times New Roman" w:hAnsi="Times New Roman"/>
          <w:lang w:eastAsia="en-GB"/>
        </w:rPr>
      </w:pPr>
      <w:proofErr w:type="spellStart"/>
      <w:r w:rsidRPr="008065C4">
        <w:rPr>
          <w:rFonts w:ascii="Times New Roman" w:hAnsi="Times New Roman"/>
        </w:rPr>
        <w:t>Nier</w:t>
      </w:r>
      <w:proofErr w:type="spellEnd"/>
      <w:r w:rsidRPr="008065C4">
        <w:rPr>
          <w:rFonts w:ascii="Times New Roman" w:hAnsi="Times New Roman"/>
        </w:rPr>
        <w:t>, E</w:t>
      </w:r>
      <w:proofErr w:type="gramStart"/>
      <w:r w:rsidRPr="008065C4">
        <w:rPr>
          <w:rFonts w:ascii="Times New Roman" w:hAnsi="Times New Roman"/>
        </w:rPr>
        <w:t>. ,</w:t>
      </w:r>
      <w:proofErr w:type="gramEnd"/>
      <w:r w:rsidRPr="008065C4">
        <w:rPr>
          <w:rFonts w:ascii="Times New Roman" w:hAnsi="Times New Roman"/>
        </w:rPr>
        <w:t xml:space="preserve"> Yang J., </w:t>
      </w:r>
      <w:proofErr w:type="spellStart"/>
      <w:r w:rsidRPr="008065C4">
        <w:rPr>
          <w:rFonts w:ascii="Times New Roman" w:hAnsi="Times New Roman"/>
        </w:rPr>
        <w:t>Yorulmazer</w:t>
      </w:r>
      <w:proofErr w:type="spellEnd"/>
      <w:r w:rsidRPr="008065C4">
        <w:rPr>
          <w:rFonts w:ascii="Times New Roman" w:hAnsi="Times New Roman"/>
        </w:rPr>
        <w:t xml:space="preserve"> T. </w:t>
      </w:r>
      <w:r w:rsidR="00475364" w:rsidRPr="008065C4">
        <w:rPr>
          <w:rFonts w:ascii="Times New Roman" w:hAnsi="Times New Roman"/>
        </w:rPr>
        <w:t>&amp;</w:t>
      </w:r>
      <w:r w:rsidRPr="008065C4">
        <w:rPr>
          <w:rFonts w:ascii="Times New Roman" w:hAnsi="Times New Roman"/>
        </w:rPr>
        <w:t xml:space="preserve"> Alentorn, A. (2007) “Network models and financial stability” , Journal of Economics Dynamics and Control, </w:t>
      </w:r>
      <w:proofErr w:type="spellStart"/>
      <w:r w:rsidRPr="008065C4">
        <w:rPr>
          <w:rFonts w:ascii="Times New Roman" w:hAnsi="Times New Roman"/>
        </w:rPr>
        <w:t>Vol</w:t>
      </w:r>
      <w:proofErr w:type="spellEnd"/>
      <w:r w:rsidRPr="008065C4">
        <w:rPr>
          <w:rFonts w:ascii="Times New Roman" w:hAnsi="Times New Roman"/>
        </w:rPr>
        <w:t xml:space="preserve"> 31, No. 6, 2033-60</w:t>
      </w:r>
      <w:r w:rsidR="00597A3E" w:rsidRPr="008065C4">
        <w:rPr>
          <w:rFonts w:ascii="Times New Roman" w:hAnsi="Times New Roman"/>
        </w:rPr>
        <w:t>.</w:t>
      </w:r>
      <w:r w:rsidR="00597A3E" w:rsidRPr="008065C4">
        <w:rPr>
          <w:rFonts w:ascii="Times New Roman" w:hAnsi="Times New Roman"/>
        </w:rPr>
        <w:br/>
      </w:r>
      <w:proofErr w:type="spellStart"/>
      <w:r w:rsidR="008677E4" w:rsidRPr="008065C4">
        <w:rPr>
          <w:rFonts w:ascii="Times New Roman" w:hAnsi="Times New Roman"/>
        </w:rPr>
        <w:t>Persuad</w:t>
      </w:r>
      <w:proofErr w:type="spellEnd"/>
      <w:r w:rsidR="008677E4" w:rsidRPr="008065C4">
        <w:rPr>
          <w:rFonts w:ascii="Times New Roman" w:hAnsi="Times New Roman"/>
        </w:rPr>
        <w:t xml:space="preserve">, A. (2002), “Where have all the Financial Risks </w:t>
      </w:r>
      <w:proofErr w:type="gramStart"/>
      <w:r w:rsidR="008677E4" w:rsidRPr="008065C4">
        <w:rPr>
          <w:rFonts w:ascii="Times New Roman" w:hAnsi="Times New Roman"/>
        </w:rPr>
        <w:t>Gone ?</w:t>
      </w:r>
      <w:proofErr w:type="gramEnd"/>
      <w:r w:rsidR="008677E4" w:rsidRPr="008065C4">
        <w:rPr>
          <w:rFonts w:ascii="Times New Roman" w:hAnsi="Times New Roman"/>
        </w:rPr>
        <w:t xml:space="preserve"> ” Mercer’s School Memorial Lectures, 14 November 2002. </w:t>
      </w:r>
      <w:hyperlink r:id="rId25" w:history="1">
        <w:proofErr w:type="gramStart"/>
        <w:r w:rsidR="008677E4" w:rsidRPr="008065C4">
          <w:rPr>
            <w:rStyle w:val="Hyperlink"/>
            <w:rFonts w:ascii="Times New Roman" w:hAnsi="Times New Roman"/>
          </w:rPr>
          <w:t>http://www.gresham.ac.uk/lectures-and-events/where-have-all-the-financial-risks-gone</w:t>
        </w:r>
      </w:hyperlink>
      <w:r w:rsidR="002A5641" w:rsidRPr="008065C4">
        <w:rPr>
          <w:rFonts w:ascii="Times New Roman" w:hAnsi="Times New Roman"/>
        </w:rPr>
        <w:t xml:space="preserve">  </w:t>
      </w:r>
      <w:r w:rsidR="002A5641" w:rsidRPr="008065C4">
        <w:rPr>
          <w:rFonts w:ascii="Times New Roman" w:hAnsi="Times New Roman"/>
        </w:rPr>
        <w:br/>
      </w:r>
      <w:r w:rsidR="003B340C" w:rsidRPr="008065C4">
        <w:rPr>
          <w:rFonts w:ascii="Times New Roman" w:hAnsi="Times New Roman"/>
          <w:iCs/>
          <w:lang w:eastAsia="en-GB"/>
        </w:rPr>
        <w:t xml:space="preserve">Stanton, R. </w:t>
      </w:r>
      <w:r w:rsidR="00475364" w:rsidRPr="008065C4">
        <w:rPr>
          <w:rFonts w:ascii="Times New Roman" w:hAnsi="Times New Roman"/>
          <w:iCs/>
          <w:lang w:eastAsia="en-GB"/>
        </w:rPr>
        <w:t xml:space="preserve">&amp; </w:t>
      </w:r>
      <w:r w:rsidR="003B340C" w:rsidRPr="008065C4">
        <w:rPr>
          <w:rFonts w:ascii="Times New Roman" w:hAnsi="Times New Roman"/>
          <w:iCs/>
          <w:lang w:eastAsia="en-GB"/>
        </w:rPr>
        <w:t xml:space="preserve">N. Wallace </w:t>
      </w:r>
      <w:r w:rsidR="00DE4D1C" w:rsidRPr="008065C4">
        <w:rPr>
          <w:rFonts w:ascii="Times New Roman" w:hAnsi="Times New Roman"/>
          <w:iCs/>
          <w:lang w:eastAsia="en-GB"/>
        </w:rPr>
        <w:t>(</w:t>
      </w:r>
      <w:r w:rsidR="003B340C" w:rsidRPr="008065C4">
        <w:rPr>
          <w:rFonts w:ascii="Times New Roman" w:hAnsi="Times New Roman"/>
          <w:iCs/>
          <w:lang w:eastAsia="en-GB"/>
        </w:rPr>
        <w:t>2009</w:t>
      </w:r>
      <w:r w:rsidR="00DE4D1C" w:rsidRPr="008065C4">
        <w:rPr>
          <w:rFonts w:ascii="Times New Roman" w:hAnsi="Times New Roman"/>
          <w:iCs/>
          <w:lang w:eastAsia="en-GB"/>
        </w:rPr>
        <w:t>)</w:t>
      </w:r>
      <w:r w:rsidR="003B340C" w:rsidRPr="008065C4">
        <w:rPr>
          <w:rFonts w:ascii="Times New Roman" w:hAnsi="Times New Roman"/>
          <w:iCs/>
          <w:lang w:eastAsia="en-GB"/>
        </w:rPr>
        <w:t xml:space="preserve">, “ABXE-HE Indexed Credit Default Swaps and the Valuation of Subprime MBS”, Fisher </w:t>
      </w:r>
      <w:proofErr w:type="spellStart"/>
      <w:r w:rsidR="003B340C" w:rsidRPr="008065C4">
        <w:rPr>
          <w:rFonts w:ascii="Times New Roman" w:hAnsi="Times New Roman"/>
          <w:iCs/>
          <w:lang w:eastAsia="en-GB"/>
        </w:rPr>
        <w:t>Center</w:t>
      </w:r>
      <w:proofErr w:type="spellEnd"/>
      <w:r w:rsidR="003B340C" w:rsidRPr="008065C4">
        <w:rPr>
          <w:rFonts w:ascii="Times New Roman" w:hAnsi="Times New Roman"/>
          <w:iCs/>
          <w:lang w:eastAsia="en-GB"/>
        </w:rPr>
        <w:t xml:space="preserve"> Real Working Paper, UC Berkeley.</w:t>
      </w:r>
      <w:proofErr w:type="gramEnd"/>
      <w:r w:rsidR="003B340C" w:rsidRPr="008065C4">
        <w:rPr>
          <w:rFonts w:ascii="Times New Roman" w:hAnsi="Times New Roman"/>
          <w:iCs/>
          <w:lang w:eastAsia="en-GB"/>
        </w:rPr>
        <w:t xml:space="preserve"> </w:t>
      </w:r>
      <w:r w:rsidR="000D3B6E" w:rsidRPr="008065C4">
        <w:rPr>
          <w:rFonts w:ascii="Times New Roman" w:hAnsi="Times New Roman"/>
          <w:iCs/>
          <w:lang w:eastAsia="en-GB"/>
        </w:rPr>
        <w:br/>
      </w:r>
      <w:proofErr w:type="spellStart"/>
      <w:r w:rsidR="004A4EDB" w:rsidRPr="008065C4">
        <w:rPr>
          <w:rFonts w:ascii="Times New Roman" w:hAnsi="Times New Roman"/>
          <w:iCs/>
          <w:lang w:eastAsia="en-GB"/>
        </w:rPr>
        <w:t>Stulz</w:t>
      </w:r>
      <w:proofErr w:type="spellEnd"/>
      <w:r w:rsidR="004A4EDB" w:rsidRPr="008065C4">
        <w:rPr>
          <w:rFonts w:ascii="Times New Roman" w:hAnsi="Times New Roman"/>
          <w:iCs/>
          <w:lang w:eastAsia="en-GB"/>
        </w:rPr>
        <w:t>, R. (2010)</w:t>
      </w:r>
      <w:r w:rsidR="00EE25AA" w:rsidRPr="008065C4">
        <w:rPr>
          <w:rFonts w:ascii="Times New Roman" w:hAnsi="Times New Roman"/>
          <w:iCs/>
          <w:lang w:eastAsia="en-GB"/>
        </w:rPr>
        <w:t>, “Credit Default Swaps and the Credit Crisis”</w:t>
      </w:r>
      <w:r w:rsidR="00767378" w:rsidRPr="008065C4">
        <w:rPr>
          <w:rFonts w:ascii="Times New Roman" w:hAnsi="Times New Roman"/>
          <w:iCs/>
          <w:lang w:eastAsia="en-GB"/>
        </w:rPr>
        <w:t>, Journal</w:t>
      </w:r>
      <w:r w:rsidR="00DD3EEB" w:rsidRPr="008065C4">
        <w:rPr>
          <w:rFonts w:ascii="Times New Roman" w:hAnsi="Times New Roman"/>
          <w:iCs/>
          <w:lang w:eastAsia="en-GB"/>
        </w:rPr>
        <w:t xml:space="preserve"> of Economic Perspectives—Volume 24, Number 1—</w:t>
      </w:r>
      <w:proofErr w:type="gramStart"/>
      <w:r w:rsidR="00DD3EEB" w:rsidRPr="008065C4">
        <w:rPr>
          <w:rFonts w:ascii="Times New Roman" w:hAnsi="Times New Roman"/>
          <w:iCs/>
          <w:lang w:eastAsia="en-GB"/>
        </w:rPr>
        <w:t>Winter</w:t>
      </w:r>
      <w:proofErr w:type="gramEnd"/>
      <w:r w:rsidR="00DD3EEB" w:rsidRPr="008065C4">
        <w:rPr>
          <w:rFonts w:ascii="Times New Roman" w:hAnsi="Times New Roman"/>
          <w:iCs/>
          <w:lang w:eastAsia="en-GB"/>
        </w:rPr>
        <w:t xml:space="preserve"> 2010—Pages 73–92</w:t>
      </w:r>
      <w:r w:rsidR="006C0F8B" w:rsidRPr="008065C4">
        <w:rPr>
          <w:rFonts w:ascii="Times New Roman" w:hAnsi="Times New Roman"/>
          <w:iCs/>
          <w:lang w:eastAsia="en-GB"/>
        </w:rPr>
        <w:t>.</w:t>
      </w:r>
      <w:r w:rsidR="004D3BD5" w:rsidRPr="008065C4">
        <w:rPr>
          <w:rFonts w:ascii="Times New Roman" w:hAnsi="Times New Roman"/>
          <w:iCs/>
          <w:lang w:eastAsia="en-GB"/>
        </w:rPr>
        <w:br/>
      </w:r>
      <w:r w:rsidR="00D1448D" w:rsidRPr="008065C4">
        <w:rPr>
          <w:rFonts w:ascii="Times New Roman" w:hAnsi="Times New Roman"/>
        </w:rPr>
        <w:t xml:space="preserve">Tesfatsion, L., </w:t>
      </w:r>
      <w:r w:rsidR="00475364" w:rsidRPr="008065C4">
        <w:rPr>
          <w:rFonts w:ascii="Times New Roman" w:hAnsi="Times New Roman"/>
        </w:rPr>
        <w:t xml:space="preserve">&amp; </w:t>
      </w:r>
      <w:r w:rsidR="00D1448D" w:rsidRPr="008065C4">
        <w:rPr>
          <w:rFonts w:ascii="Times New Roman" w:hAnsi="Times New Roman"/>
        </w:rPr>
        <w:t>Judd, K., (</w:t>
      </w:r>
      <w:proofErr w:type="spellStart"/>
      <w:proofErr w:type="gramStart"/>
      <w:r w:rsidR="00D1448D" w:rsidRPr="008065C4">
        <w:rPr>
          <w:rFonts w:ascii="Times New Roman" w:hAnsi="Times New Roman"/>
        </w:rPr>
        <w:t>eds</w:t>
      </w:r>
      <w:proofErr w:type="spellEnd"/>
      <w:proofErr w:type="gramEnd"/>
      <w:r w:rsidR="00D1448D" w:rsidRPr="008065C4">
        <w:rPr>
          <w:rFonts w:ascii="Times New Roman" w:hAnsi="Times New Roman"/>
        </w:rPr>
        <w:t>) (2006)</w:t>
      </w:r>
      <w:r w:rsidR="00D1448D" w:rsidRPr="008065C4">
        <w:rPr>
          <w:rFonts w:ascii="Times New Roman" w:hAnsi="Times New Roman"/>
          <w:b/>
          <w:i/>
        </w:rPr>
        <w:t xml:space="preserve"> </w:t>
      </w:r>
      <w:r w:rsidR="00D1448D" w:rsidRPr="008065C4">
        <w:rPr>
          <w:rFonts w:ascii="Times New Roman" w:hAnsi="Times New Roman"/>
        </w:rPr>
        <w:t>Handbook of Computational Economics, Volume II: Agent-Based Computational Economics</w:t>
      </w:r>
      <w:r w:rsidR="00D1448D" w:rsidRPr="008065C4">
        <w:rPr>
          <w:rFonts w:ascii="Times New Roman" w:hAnsi="Times New Roman"/>
          <w:b/>
        </w:rPr>
        <w:t xml:space="preserve">, </w:t>
      </w:r>
      <w:r w:rsidR="00D1448D" w:rsidRPr="008065C4">
        <w:rPr>
          <w:rFonts w:ascii="Times New Roman" w:hAnsi="Times New Roman"/>
          <w:bCs/>
          <w:i/>
        </w:rPr>
        <w:t>Elsevier/North-Holland: Amsterdam</w:t>
      </w:r>
      <w:r w:rsidR="00D1448D" w:rsidRPr="008065C4">
        <w:rPr>
          <w:rFonts w:ascii="Times New Roman" w:hAnsi="Times New Roman"/>
          <w:b/>
          <w:bCs/>
        </w:rPr>
        <w:t>.</w:t>
      </w:r>
      <w:r w:rsidR="00D1448D" w:rsidRPr="00B50939">
        <w:rPr>
          <w:rFonts w:ascii="Times New Roman" w:hAnsi="Times New Roman"/>
          <w:b/>
          <w:bCs/>
        </w:rPr>
        <w:t xml:space="preserve"> </w:t>
      </w:r>
      <w:r w:rsidR="00D1448D" w:rsidRPr="00B50939">
        <w:rPr>
          <w:rFonts w:ascii="Times New Roman" w:hAnsi="Times New Roman"/>
          <w:b/>
          <w:bCs/>
          <w:i/>
        </w:rPr>
        <w:br/>
      </w:r>
      <w:proofErr w:type="gramStart"/>
      <w:r w:rsidR="00687AA3" w:rsidRPr="00687AA3">
        <w:rPr>
          <w:rFonts w:ascii="Times New Roman" w:hAnsi="Times New Roman"/>
          <w:lang w:eastAsia="en-GB"/>
        </w:rPr>
        <w:t>Upper, C. (2011).</w:t>
      </w:r>
      <w:proofErr w:type="gramEnd"/>
      <w:r w:rsidR="00687AA3" w:rsidRPr="00687AA3">
        <w:rPr>
          <w:rFonts w:ascii="Times New Roman" w:hAnsi="Times New Roman"/>
          <w:lang w:eastAsia="en-GB"/>
        </w:rPr>
        <w:t xml:space="preserve"> Simulation methods to assess the danger of contagion in interbank</w:t>
      </w:r>
    </w:p>
    <w:p w:rsidR="00687AA3" w:rsidRPr="00687AA3" w:rsidRDefault="00687AA3" w:rsidP="00687AA3">
      <w:pPr>
        <w:autoSpaceDE w:val="0"/>
        <w:autoSpaceDN w:val="0"/>
        <w:adjustRightInd w:val="0"/>
        <w:spacing w:after="0" w:line="360" w:lineRule="auto"/>
        <w:rPr>
          <w:rFonts w:ascii="Times New Roman" w:hAnsi="Times New Roman"/>
          <w:lang w:eastAsia="en-GB"/>
        </w:rPr>
      </w:pPr>
      <w:proofErr w:type="gramStart"/>
      <w:r w:rsidRPr="00687AA3">
        <w:rPr>
          <w:rFonts w:ascii="Times New Roman" w:hAnsi="Times New Roman"/>
          <w:lang w:eastAsia="en-GB"/>
        </w:rPr>
        <w:t>markets</w:t>
      </w:r>
      <w:proofErr w:type="gramEnd"/>
      <w:r w:rsidRPr="00687AA3">
        <w:rPr>
          <w:rFonts w:ascii="Times New Roman" w:hAnsi="Times New Roman"/>
          <w:lang w:eastAsia="en-GB"/>
        </w:rPr>
        <w:t xml:space="preserve">. </w:t>
      </w:r>
      <w:proofErr w:type="gramStart"/>
      <w:r w:rsidRPr="00687AA3">
        <w:rPr>
          <w:rFonts w:ascii="Times New Roman" w:hAnsi="Times New Roman"/>
          <w:lang w:eastAsia="en-GB"/>
        </w:rPr>
        <w:t>Journal of Financial Stability, forthcoming.</w:t>
      </w:r>
      <w:proofErr w:type="gramEnd"/>
    </w:p>
    <w:p w:rsidR="00687AA3" w:rsidRPr="00687AA3" w:rsidRDefault="00687AA3" w:rsidP="00687AA3">
      <w:pPr>
        <w:autoSpaceDE w:val="0"/>
        <w:autoSpaceDN w:val="0"/>
        <w:adjustRightInd w:val="0"/>
        <w:spacing w:after="0" w:line="360" w:lineRule="auto"/>
        <w:rPr>
          <w:rFonts w:ascii="Times New Roman" w:hAnsi="Times New Roman"/>
          <w:lang w:eastAsia="en-GB"/>
        </w:rPr>
      </w:pPr>
      <w:proofErr w:type="gramStart"/>
      <w:r w:rsidRPr="00687AA3">
        <w:rPr>
          <w:rFonts w:ascii="Times New Roman" w:hAnsi="Times New Roman"/>
          <w:lang w:eastAsia="en-GB"/>
        </w:rPr>
        <w:t>Upper, C. and Worms, A. (2004).</w:t>
      </w:r>
      <w:proofErr w:type="gramEnd"/>
      <w:r w:rsidRPr="00687AA3">
        <w:rPr>
          <w:rFonts w:ascii="Times New Roman" w:hAnsi="Times New Roman"/>
          <w:lang w:eastAsia="en-GB"/>
        </w:rPr>
        <w:t xml:space="preserve"> Estimating bilateral exposures in the </w:t>
      </w:r>
      <w:proofErr w:type="spellStart"/>
      <w:r w:rsidRPr="00687AA3">
        <w:rPr>
          <w:rFonts w:ascii="Times New Roman" w:hAnsi="Times New Roman"/>
          <w:lang w:eastAsia="en-GB"/>
        </w:rPr>
        <w:t>german</w:t>
      </w:r>
      <w:proofErr w:type="spellEnd"/>
    </w:p>
    <w:p w:rsidR="00687AA3" w:rsidRPr="00687AA3" w:rsidRDefault="00687AA3" w:rsidP="00687AA3">
      <w:pPr>
        <w:autoSpaceDE w:val="0"/>
        <w:autoSpaceDN w:val="0"/>
        <w:adjustRightInd w:val="0"/>
        <w:spacing w:after="0" w:line="360" w:lineRule="auto"/>
        <w:rPr>
          <w:rFonts w:ascii="Times New Roman" w:hAnsi="Times New Roman"/>
          <w:lang w:eastAsia="en-GB"/>
        </w:rPr>
      </w:pPr>
      <w:proofErr w:type="gramStart"/>
      <w:r w:rsidRPr="00687AA3">
        <w:rPr>
          <w:rFonts w:ascii="Times New Roman" w:hAnsi="Times New Roman"/>
          <w:lang w:eastAsia="en-GB"/>
        </w:rPr>
        <w:t>interbank</w:t>
      </w:r>
      <w:proofErr w:type="gramEnd"/>
      <w:r w:rsidRPr="00687AA3">
        <w:rPr>
          <w:rFonts w:ascii="Times New Roman" w:hAnsi="Times New Roman"/>
          <w:lang w:eastAsia="en-GB"/>
        </w:rPr>
        <w:t xml:space="preserve"> market: Is there a danger of contagion? European Economic Review,</w:t>
      </w:r>
    </w:p>
    <w:p w:rsidR="005E08D7" w:rsidRPr="005E08D7" w:rsidRDefault="00687AA3" w:rsidP="005E08D7">
      <w:pPr>
        <w:spacing w:line="360" w:lineRule="auto"/>
        <w:rPr>
          <w:rFonts w:ascii="Times New Roman" w:hAnsi="Times New Roman"/>
        </w:rPr>
      </w:pPr>
      <w:r>
        <w:rPr>
          <w:rFonts w:ascii="Times New Roman" w:hAnsi="Times New Roman"/>
          <w:lang w:eastAsia="en-GB"/>
        </w:rPr>
        <w:t>48(4):827-</w:t>
      </w:r>
      <w:r w:rsidRPr="00687AA3">
        <w:rPr>
          <w:rFonts w:ascii="Times New Roman" w:hAnsi="Times New Roman"/>
          <w:lang w:eastAsia="en-GB"/>
        </w:rPr>
        <w:t>849.</w:t>
      </w:r>
      <w:r w:rsidR="005E08D7">
        <w:rPr>
          <w:rFonts w:ascii="Times New Roman" w:hAnsi="Times New Roman"/>
        </w:rPr>
        <w:br/>
      </w:r>
      <w:r w:rsidR="005E08D7" w:rsidRPr="005E08D7">
        <w:rPr>
          <w:rFonts w:ascii="Times New Roman" w:hAnsi="Times New Roman"/>
        </w:rPr>
        <w:t>Wieland, V.,</w:t>
      </w:r>
      <w:r w:rsidR="005E08D7" w:rsidRPr="005E08D7">
        <w:rPr>
          <w:rFonts w:ascii="Times New Roman" w:hAnsi="Times New Roman"/>
          <w:b/>
        </w:rPr>
        <w:t xml:space="preserve"> </w:t>
      </w:r>
      <w:r w:rsidR="005E08D7" w:rsidRPr="005E08D7">
        <w:rPr>
          <w:rFonts w:ascii="Times New Roman" w:hAnsi="Times New Roman"/>
        </w:rPr>
        <w:t xml:space="preserve">(2010), “Model Comparisons and Robustness: A Proposal for Policy Analysis </w:t>
      </w:r>
      <w:proofErr w:type="gramStart"/>
      <w:r w:rsidR="005E08D7" w:rsidRPr="005E08D7">
        <w:rPr>
          <w:rFonts w:ascii="Times New Roman" w:hAnsi="Times New Roman"/>
        </w:rPr>
        <w:t>After</w:t>
      </w:r>
      <w:proofErr w:type="gramEnd"/>
      <w:r w:rsidR="005E08D7" w:rsidRPr="005E08D7">
        <w:rPr>
          <w:rFonts w:ascii="Times New Roman" w:hAnsi="Times New Roman"/>
        </w:rPr>
        <w:t xml:space="preserve"> Financial Crisis”, CFS, Mimeo, Nov 2010. </w:t>
      </w:r>
    </w:p>
    <w:p w:rsidR="008338FE" w:rsidRPr="00682925" w:rsidRDefault="008338FE" w:rsidP="00006813">
      <w:pPr>
        <w:spacing w:line="360" w:lineRule="auto"/>
        <w:rPr>
          <w:rFonts w:ascii="Times New Roman" w:hAnsi="Times New Roman"/>
          <w:b/>
        </w:rPr>
      </w:pPr>
      <w:r w:rsidRPr="00682925">
        <w:rPr>
          <w:rFonts w:ascii="Times New Roman" w:hAnsi="Times New Roman"/>
          <w:b/>
        </w:rPr>
        <w:t xml:space="preserve">Appendix: </w:t>
      </w:r>
    </w:p>
    <w:p w:rsidR="008338FE" w:rsidRPr="00682925" w:rsidRDefault="008338FE" w:rsidP="008338FE">
      <w:pPr>
        <w:spacing w:after="0" w:line="240" w:lineRule="auto"/>
        <w:jc w:val="both"/>
        <w:rPr>
          <w:rFonts w:ascii="Times New Roman" w:hAnsi="Times New Roman"/>
        </w:rPr>
      </w:pPr>
      <w:r w:rsidRPr="00682925">
        <w:rPr>
          <w:rFonts w:ascii="Times New Roman" w:hAnsi="Times New Roman"/>
        </w:rPr>
        <w:t xml:space="preserve">Items I and II listed under Schedules RC-B relate to the on balance sheet holdings of RMBS securities by the banks. These are the vanilla pass-through notes as well as the structured notes such as collateralised mortgage obligations held by the banks.  Item III Schedule RC-L - Derivatives and Off-Balance Sheet Items starting from RCFDA535 gives the CDS data for the FDIC banks. </w:t>
      </w:r>
    </w:p>
    <w:p w:rsidR="008338FE" w:rsidRPr="00682925" w:rsidRDefault="008338FE" w:rsidP="008338FE">
      <w:pPr>
        <w:spacing w:after="0" w:line="240" w:lineRule="auto"/>
        <w:jc w:val="both"/>
        <w:rPr>
          <w:rFonts w:ascii="Times New Roman" w:hAnsi="Times New Roman"/>
          <w:b/>
          <w:u w:val="single"/>
        </w:rPr>
      </w:pPr>
    </w:p>
    <w:p w:rsidR="008338FE" w:rsidRPr="00DC6AA6" w:rsidRDefault="008338FE" w:rsidP="008338FE">
      <w:pPr>
        <w:spacing w:after="0" w:line="240" w:lineRule="auto"/>
        <w:jc w:val="both"/>
        <w:rPr>
          <w:rFonts w:ascii="Times New Roman" w:hAnsi="Times New Roman"/>
          <w:b/>
        </w:rPr>
      </w:pPr>
      <w:r w:rsidRPr="00682925">
        <w:rPr>
          <w:rFonts w:ascii="Times New Roman" w:hAnsi="Times New Roman"/>
          <w:b/>
          <w:u w:val="single"/>
        </w:rPr>
        <w:lastRenderedPageBreak/>
        <w:t xml:space="preserve"> </w:t>
      </w:r>
      <w:proofErr w:type="spellStart"/>
      <w:r w:rsidRPr="00682925">
        <w:rPr>
          <w:rFonts w:ascii="Times New Roman" w:hAnsi="Times New Roman"/>
          <w:b/>
          <w:u w:val="single"/>
        </w:rPr>
        <w:t>I.</w:t>
      </w:r>
      <w:r w:rsidRPr="00DC6AA6">
        <w:rPr>
          <w:rFonts w:ascii="Times New Roman" w:hAnsi="Times New Roman"/>
          <w:b/>
        </w:rPr>
        <w:t>Schedule</w:t>
      </w:r>
      <w:proofErr w:type="spellEnd"/>
      <w:r w:rsidRPr="00DC6AA6">
        <w:rPr>
          <w:rFonts w:ascii="Times New Roman" w:hAnsi="Times New Roman"/>
          <w:b/>
        </w:rPr>
        <w:t xml:space="preserve"> RC-B - Securities</w:t>
      </w:r>
    </w:p>
    <w:p w:rsidR="008338FE" w:rsidRPr="00682925" w:rsidRDefault="008338FE" w:rsidP="008338FE">
      <w:pPr>
        <w:spacing w:after="0" w:line="240" w:lineRule="auto"/>
        <w:jc w:val="both"/>
        <w:rPr>
          <w:rFonts w:ascii="Times New Roman" w:hAnsi="Times New Roman"/>
        </w:rPr>
      </w:pPr>
    </w:p>
    <w:p w:rsidR="008338FE" w:rsidRPr="00682925" w:rsidRDefault="008338FE" w:rsidP="008338FE">
      <w:pPr>
        <w:spacing w:after="0" w:line="240" w:lineRule="auto"/>
        <w:jc w:val="both"/>
        <w:rPr>
          <w:rFonts w:ascii="Times New Roman" w:hAnsi="Times New Roman"/>
          <w:b/>
          <w:u w:val="single"/>
        </w:rPr>
      </w:pPr>
      <w:r w:rsidRPr="00682925">
        <w:rPr>
          <w:rFonts w:ascii="Times New Roman" w:hAnsi="Times New Roman"/>
          <w:b/>
          <w:u w:val="single"/>
        </w:rPr>
        <w:t>Item:</w:t>
      </w:r>
    </w:p>
    <w:p w:rsidR="008338FE" w:rsidRPr="00682925" w:rsidRDefault="008338FE" w:rsidP="008338FE">
      <w:pPr>
        <w:spacing w:after="0" w:line="240" w:lineRule="auto"/>
        <w:jc w:val="both"/>
        <w:rPr>
          <w:rFonts w:ascii="Times New Roman" w:hAnsi="Times New Roman"/>
        </w:rPr>
      </w:pPr>
      <w:r w:rsidRPr="00682925">
        <w:rPr>
          <w:rFonts w:ascii="Times New Roman" w:hAnsi="Times New Roman"/>
        </w:rPr>
        <w:t>Item 4: Mortgage-backed securities (MBS):</w:t>
      </w:r>
    </w:p>
    <w:p w:rsidR="008338FE" w:rsidRPr="00682925" w:rsidRDefault="008338FE" w:rsidP="008338FE">
      <w:pPr>
        <w:spacing w:after="0" w:line="240" w:lineRule="auto"/>
        <w:jc w:val="both"/>
        <w:rPr>
          <w:rFonts w:ascii="Times New Roman" w:hAnsi="Times New Roman"/>
          <w:b/>
          <w:u w:val="single"/>
        </w:rPr>
      </w:pPr>
      <w:r w:rsidRPr="00682925">
        <w:rPr>
          <w:rFonts w:ascii="Times New Roman" w:hAnsi="Times New Roman"/>
          <w:b/>
          <w:u w:val="single"/>
        </w:rPr>
        <w:t>Subsection:</w:t>
      </w:r>
    </w:p>
    <w:p w:rsidR="008338FE" w:rsidRPr="00682925" w:rsidRDefault="008338FE" w:rsidP="008338FE">
      <w:pPr>
        <w:spacing w:after="0" w:line="240" w:lineRule="auto"/>
        <w:jc w:val="both"/>
        <w:rPr>
          <w:rFonts w:ascii="Times New Roman" w:hAnsi="Times New Roman"/>
        </w:rPr>
      </w:pPr>
      <w:r w:rsidRPr="00682925">
        <w:rPr>
          <w:rFonts w:ascii="Times New Roman" w:hAnsi="Times New Roman"/>
        </w:rPr>
        <w:t>a. Residential mortgage pass-through securities:</w:t>
      </w:r>
    </w:p>
    <w:p w:rsidR="008338FE" w:rsidRPr="00682925" w:rsidRDefault="008338FE" w:rsidP="008338FE">
      <w:pPr>
        <w:spacing w:after="0" w:line="240" w:lineRule="auto"/>
        <w:jc w:val="both"/>
        <w:rPr>
          <w:rFonts w:ascii="Times New Roman" w:hAnsi="Times New Roman"/>
          <w:b/>
          <w:u w:val="single"/>
        </w:rPr>
      </w:pPr>
      <w:r w:rsidRPr="00682925">
        <w:rPr>
          <w:rFonts w:ascii="Times New Roman" w:hAnsi="Times New Roman"/>
          <w:b/>
          <w:u w:val="single"/>
        </w:rPr>
        <w:t>Description:</w:t>
      </w:r>
    </w:p>
    <w:p w:rsidR="008338FE" w:rsidRPr="00682925" w:rsidRDefault="008338FE" w:rsidP="008338FE">
      <w:pPr>
        <w:spacing w:after="0" w:line="240" w:lineRule="auto"/>
        <w:jc w:val="both"/>
        <w:rPr>
          <w:rFonts w:ascii="Times New Roman" w:hAnsi="Times New Roman"/>
        </w:rPr>
      </w:pPr>
      <w:r w:rsidRPr="00682925">
        <w:rPr>
          <w:rFonts w:ascii="Times New Roman" w:hAnsi="Times New Roman"/>
        </w:rPr>
        <w:t>1. Guaranteed by GNMA</w:t>
      </w:r>
    </w:p>
    <w:p w:rsidR="008338FE" w:rsidRPr="00682925" w:rsidRDefault="008338FE" w:rsidP="008338FE">
      <w:pPr>
        <w:spacing w:after="0" w:line="240" w:lineRule="auto"/>
        <w:jc w:val="both"/>
        <w:rPr>
          <w:rFonts w:ascii="Times New Roman" w:hAnsi="Times New Roman"/>
        </w:rPr>
      </w:pPr>
      <w:r w:rsidRPr="00682925">
        <w:rPr>
          <w:rFonts w:ascii="Times New Roman" w:hAnsi="Times New Roman"/>
        </w:rPr>
        <w:t>2. Issued by FNMA and FHLMC</w:t>
      </w:r>
    </w:p>
    <w:p w:rsidR="008338FE" w:rsidRPr="00682925" w:rsidRDefault="008338FE" w:rsidP="008338FE">
      <w:pPr>
        <w:spacing w:after="0" w:line="240" w:lineRule="auto"/>
        <w:jc w:val="both"/>
        <w:rPr>
          <w:rFonts w:ascii="Times New Roman" w:hAnsi="Times New Roman"/>
        </w:rPr>
      </w:pPr>
      <w:r w:rsidRPr="00682925">
        <w:rPr>
          <w:rFonts w:ascii="Times New Roman" w:hAnsi="Times New Roman"/>
        </w:rPr>
        <w:t>3. Other pass-through securities</w:t>
      </w:r>
    </w:p>
    <w:p w:rsidR="008338FE" w:rsidRPr="00682925" w:rsidRDefault="008338FE" w:rsidP="008338FE">
      <w:pPr>
        <w:spacing w:after="0" w:line="240" w:lineRule="auto"/>
        <w:jc w:val="both"/>
        <w:rPr>
          <w:rFonts w:ascii="Times New Roman" w:hAnsi="Times New Roman"/>
        </w:rPr>
      </w:pPr>
      <w:r w:rsidRPr="00682925">
        <w:rPr>
          <w:rFonts w:ascii="Times New Roman" w:hAnsi="Times New Roman"/>
        </w:rPr>
        <w:t>(Column B) Held-to-maturity Fair Value</w:t>
      </w:r>
    </w:p>
    <w:p w:rsidR="008338FE" w:rsidRPr="00682925" w:rsidRDefault="008338FE" w:rsidP="008338FE">
      <w:pPr>
        <w:spacing w:after="0" w:line="240" w:lineRule="auto"/>
        <w:jc w:val="both"/>
        <w:rPr>
          <w:rFonts w:ascii="Times New Roman" w:hAnsi="Times New Roman"/>
        </w:rPr>
      </w:pPr>
      <w:r w:rsidRPr="00682925">
        <w:rPr>
          <w:rFonts w:ascii="Times New Roman" w:hAnsi="Times New Roman"/>
        </w:rPr>
        <w:t>(Column D) Available-for-sale Fair Value</w:t>
      </w:r>
    </w:p>
    <w:p w:rsidR="008338FE" w:rsidRPr="00682925" w:rsidRDefault="008338FE" w:rsidP="008338FE">
      <w:pPr>
        <w:spacing w:after="0" w:line="240" w:lineRule="auto"/>
        <w:jc w:val="both"/>
        <w:rPr>
          <w:rFonts w:ascii="Times New Roman" w:hAnsi="Times New Roman"/>
          <w:b/>
          <w:u w:val="single"/>
        </w:rPr>
      </w:pPr>
      <w:r w:rsidRPr="00682925">
        <w:rPr>
          <w:rFonts w:ascii="Times New Roman" w:hAnsi="Times New Roman"/>
          <w:b/>
          <w:u w:val="single"/>
        </w:rPr>
        <w:t xml:space="preserve"> II. RC-Code(s):</w:t>
      </w:r>
    </w:p>
    <w:p w:rsidR="008338FE" w:rsidRPr="00682925" w:rsidRDefault="008338FE" w:rsidP="008338FE">
      <w:pPr>
        <w:spacing w:after="0" w:line="240" w:lineRule="auto"/>
        <w:jc w:val="both"/>
        <w:rPr>
          <w:rFonts w:ascii="Times New Roman" w:hAnsi="Times New Roman"/>
        </w:rPr>
      </w:pPr>
      <w:r w:rsidRPr="00682925">
        <w:rPr>
          <w:rFonts w:ascii="Times New Roman" w:hAnsi="Times New Roman"/>
        </w:rPr>
        <w:t>RCFD/RCON1699, RCFD/RCON1702, RCFD/RCON1705, RCFD/RCON1707, RCFD/RCON1710, RCFD/RCON1713</w:t>
      </w:r>
    </w:p>
    <w:p w:rsidR="008338FE" w:rsidRPr="00682925" w:rsidRDefault="008338FE" w:rsidP="008338FE">
      <w:pPr>
        <w:spacing w:after="0" w:line="240" w:lineRule="auto"/>
        <w:jc w:val="both"/>
        <w:rPr>
          <w:rFonts w:ascii="Times New Roman" w:hAnsi="Times New Roman"/>
        </w:rPr>
      </w:pPr>
    </w:p>
    <w:p w:rsidR="008338FE" w:rsidRPr="00682925" w:rsidRDefault="008338FE" w:rsidP="008338FE">
      <w:pPr>
        <w:spacing w:after="0" w:line="240" w:lineRule="auto"/>
        <w:jc w:val="both"/>
        <w:rPr>
          <w:rFonts w:ascii="Times New Roman" w:hAnsi="Times New Roman"/>
          <w:b/>
          <w:u w:val="single"/>
        </w:rPr>
      </w:pPr>
      <w:r w:rsidRPr="00682925">
        <w:rPr>
          <w:rFonts w:ascii="Times New Roman" w:hAnsi="Times New Roman"/>
          <w:b/>
          <w:u w:val="single"/>
        </w:rPr>
        <w:t>Subsection:</w:t>
      </w:r>
    </w:p>
    <w:p w:rsidR="008338FE" w:rsidRPr="00682925" w:rsidRDefault="008338FE" w:rsidP="008338FE">
      <w:pPr>
        <w:spacing w:after="0" w:line="240" w:lineRule="auto"/>
        <w:jc w:val="both"/>
        <w:rPr>
          <w:rFonts w:ascii="Times New Roman" w:hAnsi="Times New Roman"/>
        </w:rPr>
      </w:pPr>
      <w:r w:rsidRPr="00682925">
        <w:rPr>
          <w:rFonts w:ascii="Times New Roman" w:hAnsi="Times New Roman"/>
        </w:rPr>
        <w:t>b. Other residential mortgage-backed securities (include CMOs, REMICs, and stripped MBS):</w:t>
      </w:r>
    </w:p>
    <w:p w:rsidR="008338FE" w:rsidRPr="00682925" w:rsidRDefault="008338FE" w:rsidP="008338FE">
      <w:pPr>
        <w:spacing w:after="0" w:line="240" w:lineRule="auto"/>
        <w:jc w:val="both"/>
        <w:rPr>
          <w:rFonts w:ascii="Times New Roman" w:hAnsi="Times New Roman"/>
          <w:b/>
          <w:u w:val="single"/>
        </w:rPr>
      </w:pPr>
      <w:r w:rsidRPr="00682925">
        <w:rPr>
          <w:rFonts w:ascii="Times New Roman" w:hAnsi="Times New Roman"/>
          <w:b/>
          <w:u w:val="single"/>
        </w:rPr>
        <w:t>Description:</w:t>
      </w:r>
    </w:p>
    <w:p w:rsidR="008338FE" w:rsidRPr="00682925" w:rsidRDefault="008338FE" w:rsidP="008338FE">
      <w:pPr>
        <w:spacing w:after="0" w:line="240" w:lineRule="auto"/>
        <w:jc w:val="both"/>
        <w:rPr>
          <w:rFonts w:ascii="Times New Roman" w:hAnsi="Times New Roman"/>
        </w:rPr>
      </w:pPr>
      <w:r w:rsidRPr="00682925">
        <w:rPr>
          <w:rFonts w:ascii="Times New Roman" w:hAnsi="Times New Roman"/>
        </w:rPr>
        <w:t>1. Issued or guaranteed by FNMA, FHLMC, or GNMA</w:t>
      </w:r>
    </w:p>
    <w:p w:rsidR="008338FE" w:rsidRPr="00682925" w:rsidRDefault="008338FE" w:rsidP="008338FE">
      <w:pPr>
        <w:spacing w:after="0" w:line="240" w:lineRule="auto"/>
        <w:jc w:val="both"/>
        <w:rPr>
          <w:rFonts w:ascii="Times New Roman" w:hAnsi="Times New Roman"/>
        </w:rPr>
      </w:pPr>
      <w:r w:rsidRPr="00682925">
        <w:rPr>
          <w:rFonts w:ascii="Times New Roman" w:hAnsi="Times New Roman"/>
        </w:rPr>
        <w:t>2. Collateralized by MBS issued or guaranteed by FNMA, FHLMC, or GNMA</w:t>
      </w:r>
    </w:p>
    <w:p w:rsidR="008338FE" w:rsidRPr="00682925" w:rsidRDefault="008338FE" w:rsidP="008338FE">
      <w:pPr>
        <w:spacing w:after="0" w:line="240" w:lineRule="auto"/>
        <w:jc w:val="both"/>
        <w:rPr>
          <w:rFonts w:ascii="Times New Roman" w:hAnsi="Times New Roman"/>
        </w:rPr>
      </w:pPr>
      <w:r w:rsidRPr="00682925">
        <w:rPr>
          <w:rFonts w:ascii="Times New Roman" w:hAnsi="Times New Roman"/>
        </w:rPr>
        <w:t>3. All other residential MBS</w:t>
      </w:r>
    </w:p>
    <w:p w:rsidR="008338FE" w:rsidRPr="00682925" w:rsidRDefault="008338FE" w:rsidP="008338FE">
      <w:pPr>
        <w:spacing w:after="0" w:line="240" w:lineRule="auto"/>
        <w:jc w:val="both"/>
        <w:rPr>
          <w:rFonts w:ascii="Times New Roman" w:hAnsi="Times New Roman"/>
        </w:rPr>
      </w:pPr>
      <w:r w:rsidRPr="00682925">
        <w:rPr>
          <w:rFonts w:ascii="Times New Roman" w:hAnsi="Times New Roman"/>
        </w:rPr>
        <w:t>(Column B) Held-to-maturity Fair Value</w:t>
      </w:r>
    </w:p>
    <w:p w:rsidR="008338FE" w:rsidRPr="00682925" w:rsidRDefault="008338FE" w:rsidP="008338FE">
      <w:pPr>
        <w:spacing w:after="0" w:line="240" w:lineRule="auto"/>
        <w:jc w:val="both"/>
        <w:rPr>
          <w:rFonts w:ascii="Times New Roman" w:hAnsi="Times New Roman"/>
          <w:b/>
          <w:u w:val="single"/>
        </w:rPr>
      </w:pPr>
      <w:r w:rsidRPr="00682925">
        <w:rPr>
          <w:rFonts w:ascii="Times New Roman" w:hAnsi="Times New Roman"/>
          <w:b/>
          <w:u w:val="single"/>
        </w:rPr>
        <w:br/>
      </w:r>
      <w:proofErr w:type="spellStart"/>
      <w:r w:rsidRPr="00682925">
        <w:rPr>
          <w:rFonts w:ascii="Times New Roman" w:hAnsi="Times New Roman"/>
          <w:b/>
          <w:u w:val="single"/>
        </w:rPr>
        <w:t>III.Schedule</w:t>
      </w:r>
      <w:proofErr w:type="spellEnd"/>
      <w:r w:rsidRPr="00682925">
        <w:rPr>
          <w:rFonts w:ascii="Times New Roman" w:hAnsi="Times New Roman"/>
          <w:b/>
          <w:u w:val="single"/>
        </w:rPr>
        <w:t>:</w:t>
      </w:r>
    </w:p>
    <w:p w:rsidR="008338FE" w:rsidRPr="00682925" w:rsidRDefault="008338FE" w:rsidP="008338FE">
      <w:pPr>
        <w:spacing w:after="0" w:line="240" w:lineRule="auto"/>
        <w:jc w:val="both"/>
        <w:rPr>
          <w:rFonts w:ascii="Times New Roman" w:hAnsi="Times New Roman"/>
        </w:rPr>
      </w:pPr>
      <w:r w:rsidRPr="00682925">
        <w:rPr>
          <w:rFonts w:ascii="Times New Roman" w:hAnsi="Times New Roman"/>
        </w:rPr>
        <w:t>Schedule RC-L - Derivatives and Off-Balance Sheet Items</w:t>
      </w:r>
    </w:p>
    <w:p w:rsidR="008338FE" w:rsidRPr="00682925" w:rsidRDefault="008338FE" w:rsidP="008338FE">
      <w:pPr>
        <w:spacing w:after="0" w:line="240" w:lineRule="auto"/>
        <w:jc w:val="both"/>
        <w:rPr>
          <w:rFonts w:ascii="Times New Roman" w:hAnsi="Times New Roman"/>
        </w:rPr>
      </w:pPr>
    </w:p>
    <w:p w:rsidR="008338FE" w:rsidRPr="00682925" w:rsidRDefault="008338FE" w:rsidP="008338FE">
      <w:pPr>
        <w:spacing w:after="0" w:line="240" w:lineRule="auto"/>
        <w:jc w:val="both"/>
        <w:rPr>
          <w:rFonts w:ascii="Times New Roman" w:hAnsi="Times New Roman"/>
          <w:b/>
          <w:u w:val="single"/>
        </w:rPr>
      </w:pPr>
      <w:r w:rsidRPr="00682925">
        <w:rPr>
          <w:rFonts w:ascii="Times New Roman" w:hAnsi="Times New Roman"/>
          <w:b/>
          <w:u w:val="single"/>
        </w:rPr>
        <w:t>Item:</w:t>
      </w:r>
    </w:p>
    <w:p w:rsidR="008338FE" w:rsidRPr="00682925" w:rsidRDefault="008338FE" w:rsidP="008338FE">
      <w:pPr>
        <w:spacing w:after="0" w:line="240" w:lineRule="auto"/>
        <w:jc w:val="both"/>
        <w:rPr>
          <w:rFonts w:ascii="Times New Roman" w:hAnsi="Times New Roman"/>
        </w:rPr>
      </w:pPr>
      <w:r w:rsidRPr="00682925">
        <w:rPr>
          <w:rFonts w:ascii="Times New Roman" w:hAnsi="Times New Roman"/>
        </w:rPr>
        <w:t>Item 7 Credit derivatives:</w:t>
      </w:r>
    </w:p>
    <w:p w:rsidR="008338FE" w:rsidRPr="00682925" w:rsidRDefault="008338FE" w:rsidP="008338FE">
      <w:pPr>
        <w:spacing w:after="0" w:line="240" w:lineRule="auto"/>
        <w:jc w:val="both"/>
        <w:rPr>
          <w:rFonts w:ascii="Times New Roman" w:hAnsi="Times New Roman"/>
          <w:b/>
          <w:u w:val="single"/>
        </w:rPr>
      </w:pPr>
      <w:r w:rsidRPr="00682925">
        <w:rPr>
          <w:rFonts w:ascii="Times New Roman" w:hAnsi="Times New Roman"/>
          <w:b/>
          <w:u w:val="single"/>
        </w:rPr>
        <w:t>Subsection:</w:t>
      </w:r>
    </w:p>
    <w:p w:rsidR="008338FE" w:rsidRPr="00682925" w:rsidRDefault="008338FE" w:rsidP="008338FE">
      <w:pPr>
        <w:spacing w:after="0" w:line="240" w:lineRule="auto"/>
        <w:jc w:val="both"/>
        <w:rPr>
          <w:rFonts w:ascii="Times New Roman" w:hAnsi="Times New Roman"/>
        </w:rPr>
      </w:pPr>
      <w:r w:rsidRPr="00682925">
        <w:rPr>
          <w:rFonts w:ascii="Times New Roman" w:hAnsi="Times New Roman"/>
        </w:rPr>
        <w:t xml:space="preserve">b. Notional amount of credit derivatives on which the reporting bank is the beneficiary </w:t>
      </w:r>
    </w:p>
    <w:p w:rsidR="008338FE" w:rsidRPr="00682925" w:rsidRDefault="008338FE" w:rsidP="008338FE">
      <w:pPr>
        <w:spacing w:after="0" w:line="240" w:lineRule="auto"/>
        <w:jc w:val="both"/>
        <w:rPr>
          <w:rFonts w:ascii="Times New Roman" w:hAnsi="Times New Roman"/>
          <w:i/>
        </w:rPr>
      </w:pPr>
      <w:r w:rsidRPr="00682925">
        <w:rPr>
          <w:rFonts w:ascii="Times New Roman" w:hAnsi="Times New Roman"/>
          <w:i/>
        </w:rPr>
        <w:t>(2002Q2 to 2005Q4)</w:t>
      </w:r>
    </w:p>
    <w:p w:rsidR="008338FE" w:rsidRPr="00682925" w:rsidRDefault="008338FE" w:rsidP="008338FE">
      <w:pPr>
        <w:spacing w:after="0" w:line="240" w:lineRule="auto"/>
        <w:jc w:val="both"/>
        <w:rPr>
          <w:rFonts w:ascii="Times New Roman" w:hAnsi="Times New Roman"/>
        </w:rPr>
      </w:pPr>
      <w:r w:rsidRPr="00682925">
        <w:rPr>
          <w:rFonts w:ascii="Times New Roman" w:hAnsi="Times New Roman"/>
          <w:b/>
          <w:u w:val="single"/>
        </w:rPr>
        <w:t>RC-Code(s):</w:t>
      </w:r>
      <w:r w:rsidRPr="00682925">
        <w:rPr>
          <w:rFonts w:ascii="Times New Roman" w:hAnsi="Times New Roman"/>
        </w:rPr>
        <w:t>RCFDA535</w:t>
      </w:r>
    </w:p>
    <w:p w:rsidR="008338FE" w:rsidRPr="00682925" w:rsidRDefault="008338FE" w:rsidP="008338FE">
      <w:pPr>
        <w:spacing w:after="0" w:line="240" w:lineRule="auto"/>
        <w:jc w:val="both"/>
        <w:rPr>
          <w:rFonts w:ascii="Times New Roman" w:hAnsi="Times New Roman"/>
        </w:rPr>
      </w:pPr>
    </w:p>
    <w:p w:rsidR="008338FE" w:rsidRPr="00682925" w:rsidRDefault="008338FE" w:rsidP="008338FE">
      <w:pPr>
        <w:spacing w:after="0" w:line="240" w:lineRule="auto"/>
        <w:jc w:val="both"/>
        <w:rPr>
          <w:rFonts w:ascii="Times New Roman" w:hAnsi="Times New Roman"/>
          <w:b/>
          <w:u w:val="single"/>
        </w:rPr>
      </w:pPr>
      <w:r w:rsidRPr="00682925">
        <w:rPr>
          <w:rFonts w:ascii="Times New Roman" w:hAnsi="Times New Roman"/>
          <w:b/>
          <w:u w:val="single"/>
        </w:rPr>
        <w:t>Item:</w:t>
      </w:r>
    </w:p>
    <w:p w:rsidR="008338FE" w:rsidRPr="00682925" w:rsidRDefault="008338FE" w:rsidP="008338FE">
      <w:pPr>
        <w:spacing w:after="0" w:line="240" w:lineRule="auto"/>
        <w:jc w:val="both"/>
        <w:rPr>
          <w:rFonts w:ascii="Times New Roman" w:hAnsi="Times New Roman"/>
        </w:rPr>
      </w:pPr>
      <w:r w:rsidRPr="00682925">
        <w:rPr>
          <w:rFonts w:ascii="Times New Roman" w:hAnsi="Times New Roman"/>
        </w:rPr>
        <w:t>Item 7 Credit derivatives:</w:t>
      </w:r>
    </w:p>
    <w:p w:rsidR="008338FE" w:rsidRPr="00682925" w:rsidRDefault="008338FE" w:rsidP="008338FE">
      <w:pPr>
        <w:spacing w:after="0" w:line="240" w:lineRule="auto"/>
        <w:jc w:val="both"/>
        <w:rPr>
          <w:rFonts w:ascii="Times New Roman" w:hAnsi="Times New Roman"/>
          <w:b/>
          <w:u w:val="single"/>
        </w:rPr>
      </w:pPr>
      <w:r w:rsidRPr="00682925">
        <w:rPr>
          <w:rFonts w:ascii="Times New Roman" w:hAnsi="Times New Roman"/>
          <w:b/>
          <w:u w:val="single"/>
        </w:rPr>
        <w:t>Subsection:</w:t>
      </w:r>
    </w:p>
    <w:p w:rsidR="008338FE" w:rsidRPr="00682925" w:rsidRDefault="008338FE" w:rsidP="008338FE">
      <w:pPr>
        <w:spacing w:after="0" w:line="240" w:lineRule="auto"/>
        <w:jc w:val="both"/>
        <w:rPr>
          <w:rFonts w:ascii="Times New Roman" w:hAnsi="Times New Roman"/>
        </w:rPr>
      </w:pPr>
      <w:r w:rsidRPr="00682925">
        <w:rPr>
          <w:rFonts w:ascii="Times New Roman" w:hAnsi="Times New Roman"/>
        </w:rPr>
        <w:t xml:space="preserve">a. Notional amounts: </w:t>
      </w:r>
      <w:r w:rsidRPr="00682925">
        <w:rPr>
          <w:rFonts w:ascii="Times New Roman" w:hAnsi="Times New Roman"/>
          <w:i/>
        </w:rPr>
        <w:t>(2006Q1 to 2010Q2)</w:t>
      </w:r>
    </w:p>
    <w:p w:rsidR="008338FE" w:rsidRPr="00682925" w:rsidRDefault="008338FE" w:rsidP="008338FE">
      <w:pPr>
        <w:spacing w:after="0" w:line="240" w:lineRule="auto"/>
        <w:jc w:val="both"/>
        <w:rPr>
          <w:rFonts w:ascii="Times New Roman" w:hAnsi="Times New Roman"/>
          <w:b/>
          <w:u w:val="single"/>
        </w:rPr>
      </w:pPr>
      <w:r w:rsidRPr="00682925">
        <w:rPr>
          <w:rFonts w:ascii="Times New Roman" w:hAnsi="Times New Roman"/>
          <w:b/>
          <w:u w:val="single"/>
        </w:rPr>
        <w:t>Description:</w:t>
      </w:r>
    </w:p>
    <w:p w:rsidR="008338FE" w:rsidRPr="00682925" w:rsidRDefault="008338FE" w:rsidP="008338FE">
      <w:pPr>
        <w:spacing w:after="0" w:line="240" w:lineRule="auto"/>
        <w:jc w:val="both"/>
        <w:rPr>
          <w:rFonts w:ascii="Times New Roman" w:hAnsi="Times New Roman"/>
        </w:rPr>
      </w:pPr>
      <w:r w:rsidRPr="00682925">
        <w:rPr>
          <w:rFonts w:ascii="Times New Roman" w:hAnsi="Times New Roman"/>
        </w:rPr>
        <w:t>1. Credit default swaps</w:t>
      </w:r>
    </w:p>
    <w:p w:rsidR="008338FE" w:rsidRPr="00682925" w:rsidRDefault="008338FE" w:rsidP="008338FE">
      <w:pPr>
        <w:spacing w:after="0" w:line="240" w:lineRule="auto"/>
        <w:jc w:val="both"/>
        <w:rPr>
          <w:rFonts w:ascii="Times New Roman" w:hAnsi="Times New Roman"/>
        </w:rPr>
      </w:pPr>
      <w:r w:rsidRPr="00682925">
        <w:rPr>
          <w:rFonts w:ascii="Times New Roman" w:hAnsi="Times New Roman"/>
          <w:b/>
          <w:u w:val="single"/>
        </w:rPr>
        <w:t>RC-Code(s)</w:t>
      </w:r>
      <w:proofErr w:type="gramStart"/>
      <w:r w:rsidRPr="00682925">
        <w:rPr>
          <w:rFonts w:ascii="Times New Roman" w:hAnsi="Times New Roman"/>
          <w:b/>
          <w:u w:val="single"/>
        </w:rPr>
        <w:t>:</w:t>
      </w:r>
      <w:r w:rsidRPr="00682925">
        <w:rPr>
          <w:rFonts w:ascii="Times New Roman" w:hAnsi="Times New Roman"/>
        </w:rPr>
        <w:t>RCFDC</w:t>
      </w:r>
      <w:proofErr w:type="gramEnd"/>
      <w:r w:rsidRPr="00682925">
        <w:rPr>
          <w:rFonts w:ascii="Times New Roman" w:hAnsi="Times New Roman"/>
        </w:rPr>
        <w:t>/RCONC969</w:t>
      </w:r>
    </w:p>
    <w:p w:rsidR="008338FE" w:rsidRPr="00682925" w:rsidRDefault="008338FE" w:rsidP="008338FE">
      <w:pPr>
        <w:spacing w:after="0" w:line="240" w:lineRule="auto"/>
        <w:jc w:val="both"/>
        <w:rPr>
          <w:rFonts w:ascii="Times New Roman" w:hAnsi="Times New Roman"/>
        </w:rPr>
      </w:pPr>
    </w:p>
    <w:p w:rsidR="008338FE" w:rsidRPr="00682925" w:rsidRDefault="008338FE" w:rsidP="008338FE">
      <w:pPr>
        <w:spacing w:after="0" w:line="240" w:lineRule="auto"/>
        <w:jc w:val="both"/>
        <w:rPr>
          <w:rFonts w:ascii="Times New Roman" w:hAnsi="Times New Roman"/>
          <w:b/>
          <w:u w:val="single"/>
        </w:rPr>
      </w:pPr>
      <w:r w:rsidRPr="00682925">
        <w:rPr>
          <w:rFonts w:ascii="Times New Roman" w:hAnsi="Times New Roman"/>
          <w:b/>
          <w:u w:val="single"/>
        </w:rPr>
        <w:t>Subsection:</w:t>
      </w:r>
    </w:p>
    <w:p w:rsidR="008338FE" w:rsidRPr="00682925" w:rsidRDefault="008338FE" w:rsidP="008338FE">
      <w:pPr>
        <w:spacing w:after="0" w:line="240" w:lineRule="auto"/>
        <w:jc w:val="both"/>
        <w:rPr>
          <w:rFonts w:ascii="Times New Roman" w:hAnsi="Times New Roman"/>
        </w:rPr>
      </w:pPr>
      <w:r w:rsidRPr="00682925">
        <w:rPr>
          <w:rFonts w:ascii="Times New Roman" w:hAnsi="Times New Roman"/>
        </w:rPr>
        <w:t>b. Gross fair values:</w:t>
      </w:r>
      <w:r w:rsidR="008A494E">
        <w:rPr>
          <w:rFonts w:ascii="Times New Roman" w:hAnsi="Times New Roman"/>
        </w:rPr>
        <w:t xml:space="preserve"> </w:t>
      </w:r>
      <w:r w:rsidRPr="00682925">
        <w:rPr>
          <w:rFonts w:ascii="Times New Roman" w:hAnsi="Times New Roman"/>
        </w:rPr>
        <w:t>Gross positive fair value</w:t>
      </w:r>
    </w:p>
    <w:p w:rsidR="008338FE" w:rsidRPr="00682925" w:rsidRDefault="008338FE" w:rsidP="008338FE">
      <w:pPr>
        <w:spacing w:after="0" w:line="240" w:lineRule="auto"/>
        <w:jc w:val="both"/>
        <w:rPr>
          <w:rFonts w:ascii="Times New Roman" w:hAnsi="Times New Roman"/>
        </w:rPr>
      </w:pPr>
      <w:r w:rsidRPr="00682925">
        <w:rPr>
          <w:rFonts w:ascii="Times New Roman" w:hAnsi="Times New Roman"/>
          <w:b/>
          <w:u w:val="single"/>
        </w:rPr>
        <w:t>RC-Code(s)</w:t>
      </w:r>
      <w:proofErr w:type="gramStart"/>
      <w:r w:rsidRPr="00682925">
        <w:rPr>
          <w:rFonts w:ascii="Times New Roman" w:hAnsi="Times New Roman"/>
          <w:b/>
          <w:u w:val="single"/>
        </w:rPr>
        <w:t>:</w:t>
      </w:r>
      <w:r w:rsidRPr="00682925">
        <w:rPr>
          <w:rFonts w:ascii="Times New Roman" w:hAnsi="Times New Roman"/>
        </w:rPr>
        <w:t>RCFDC</w:t>
      </w:r>
      <w:proofErr w:type="gramEnd"/>
      <w:r w:rsidRPr="00682925">
        <w:rPr>
          <w:rFonts w:ascii="Times New Roman" w:hAnsi="Times New Roman"/>
        </w:rPr>
        <w:t>/RCONC221</w:t>
      </w:r>
    </w:p>
    <w:p w:rsidR="008338FE" w:rsidRPr="00682925" w:rsidRDefault="008338FE" w:rsidP="008338FE">
      <w:pPr>
        <w:spacing w:after="0" w:line="240" w:lineRule="auto"/>
        <w:jc w:val="both"/>
        <w:rPr>
          <w:rFonts w:ascii="Times New Roman" w:hAnsi="Times New Roman"/>
        </w:rPr>
      </w:pPr>
    </w:p>
    <w:p w:rsidR="008338FE" w:rsidRPr="00682925" w:rsidRDefault="008338FE" w:rsidP="008338FE">
      <w:pPr>
        <w:spacing w:after="0" w:line="240" w:lineRule="auto"/>
        <w:jc w:val="both"/>
        <w:rPr>
          <w:rFonts w:ascii="Times New Roman" w:hAnsi="Times New Roman"/>
        </w:rPr>
      </w:pPr>
      <w:r w:rsidRPr="00682925">
        <w:rPr>
          <w:rFonts w:ascii="Times New Roman" w:hAnsi="Times New Roman"/>
          <w:b/>
          <w:u w:val="single"/>
        </w:rPr>
        <w:t>Subsection</w:t>
      </w:r>
      <w:proofErr w:type="gramStart"/>
      <w:r w:rsidRPr="00682925">
        <w:rPr>
          <w:rFonts w:ascii="Times New Roman" w:hAnsi="Times New Roman"/>
          <w:b/>
          <w:u w:val="single"/>
        </w:rPr>
        <w:t>:</w:t>
      </w:r>
      <w:proofErr w:type="gramEnd"/>
      <w:r w:rsidR="008A494E">
        <w:rPr>
          <w:rFonts w:ascii="Times New Roman" w:hAnsi="Times New Roman"/>
          <w:b/>
          <w:u w:val="single"/>
        </w:rPr>
        <w:br/>
      </w:r>
      <w:r w:rsidRPr="00682925">
        <w:rPr>
          <w:rFonts w:ascii="Times New Roman" w:hAnsi="Times New Roman"/>
        </w:rPr>
        <w:t>c. Notational amounts by regulatory capital treatment:</w:t>
      </w:r>
    </w:p>
    <w:p w:rsidR="008338FE" w:rsidRPr="00682925" w:rsidRDefault="008338FE" w:rsidP="008338FE">
      <w:pPr>
        <w:spacing w:after="0" w:line="240" w:lineRule="auto"/>
        <w:jc w:val="both"/>
        <w:rPr>
          <w:rFonts w:ascii="Times New Roman" w:hAnsi="Times New Roman"/>
        </w:rPr>
      </w:pPr>
      <w:r w:rsidRPr="00682925">
        <w:rPr>
          <w:rFonts w:ascii="Times New Roman" w:hAnsi="Times New Roman"/>
          <w:b/>
          <w:u w:val="single"/>
        </w:rPr>
        <w:t>Description:</w:t>
      </w:r>
      <w:r w:rsidRPr="00682925">
        <w:rPr>
          <w:rFonts w:ascii="Times New Roman" w:hAnsi="Times New Roman"/>
        </w:rPr>
        <w:t xml:space="preserve"> All other positions:</w:t>
      </w:r>
      <w:r w:rsidR="00682925">
        <w:rPr>
          <w:rFonts w:ascii="Times New Roman" w:hAnsi="Times New Roman"/>
        </w:rPr>
        <w:t xml:space="preserve"> </w:t>
      </w:r>
      <w:r w:rsidRPr="00682925">
        <w:rPr>
          <w:rFonts w:ascii="Times New Roman" w:hAnsi="Times New Roman"/>
        </w:rPr>
        <w:t>Purchased protection that is recognized as a guarantee for regulatory capital purposes</w:t>
      </w:r>
    </w:p>
    <w:p w:rsidR="008338FE" w:rsidRPr="00682925" w:rsidRDefault="008338FE" w:rsidP="008338FE">
      <w:pPr>
        <w:spacing w:after="0" w:line="240" w:lineRule="auto"/>
        <w:jc w:val="both"/>
        <w:rPr>
          <w:rFonts w:ascii="Times New Roman" w:hAnsi="Times New Roman"/>
        </w:rPr>
      </w:pPr>
      <w:r w:rsidRPr="00682925">
        <w:rPr>
          <w:rFonts w:ascii="Times New Roman" w:hAnsi="Times New Roman"/>
          <w:b/>
          <w:u w:val="single"/>
        </w:rPr>
        <w:t>RC-Code(s)</w:t>
      </w:r>
      <w:proofErr w:type="gramStart"/>
      <w:r w:rsidRPr="00682925">
        <w:rPr>
          <w:rFonts w:ascii="Times New Roman" w:hAnsi="Times New Roman"/>
          <w:b/>
          <w:u w:val="single"/>
        </w:rPr>
        <w:t>:</w:t>
      </w:r>
      <w:r w:rsidRPr="00682925">
        <w:rPr>
          <w:rFonts w:ascii="Times New Roman" w:hAnsi="Times New Roman"/>
        </w:rPr>
        <w:t>RCFDG</w:t>
      </w:r>
      <w:proofErr w:type="gramEnd"/>
      <w:r w:rsidRPr="00682925">
        <w:rPr>
          <w:rFonts w:ascii="Times New Roman" w:hAnsi="Times New Roman"/>
        </w:rPr>
        <w:t>/RCONG404</w:t>
      </w:r>
    </w:p>
    <w:p w:rsidR="008338FE" w:rsidRDefault="008338FE" w:rsidP="00006813">
      <w:pPr>
        <w:spacing w:line="360" w:lineRule="auto"/>
        <w:rPr>
          <w:rFonts w:ascii="Times New Roman" w:hAnsi="Times New Roman"/>
        </w:rPr>
      </w:pPr>
    </w:p>
    <w:sectPr w:rsidR="008338FE" w:rsidSect="00615326">
      <w:headerReference w:type="default" r:id="rId26"/>
      <w:pgSz w:w="11906" w:h="16838"/>
      <w:pgMar w:top="1440" w:right="1440" w:bottom="1440" w:left="1440"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473A" w:rsidRDefault="008A473A" w:rsidP="00716D38">
      <w:pPr>
        <w:spacing w:after="0" w:line="240" w:lineRule="auto"/>
      </w:pPr>
      <w:r>
        <w:separator/>
      </w:r>
    </w:p>
  </w:endnote>
  <w:endnote w:type="continuationSeparator" w:id="0">
    <w:p w:rsidR="008A473A" w:rsidRDefault="008A473A" w:rsidP="00716D3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SimSun">
    <w:altName w:val="Arial Unicode MS"/>
    <w:panose1 w:val="02010600030101010101"/>
    <w:charset w:val="86"/>
    <w:family w:val="auto"/>
    <w:notTrueType/>
    <w:pitch w:val="variable"/>
    <w:sig w:usb0="00000000" w:usb1="080E0000" w:usb2="00000010" w:usb3="00000000" w:csb0="00040000" w:csb1="00000000"/>
  </w:font>
  <w:font w:name="Symbol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A00002EF" w:usb1="420020EB"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473A" w:rsidRDefault="008A473A" w:rsidP="00716D38">
      <w:pPr>
        <w:spacing w:after="0" w:line="240" w:lineRule="auto"/>
      </w:pPr>
      <w:r>
        <w:separator/>
      </w:r>
    </w:p>
  </w:footnote>
  <w:footnote w:type="continuationSeparator" w:id="0">
    <w:p w:rsidR="008A473A" w:rsidRDefault="008A473A" w:rsidP="00716D38">
      <w:pPr>
        <w:spacing w:after="0" w:line="240" w:lineRule="auto"/>
      </w:pPr>
      <w:r>
        <w:continuationSeparator/>
      </w:r>
    </w:p>
  </w:footnote>
  <w:footnote w:id="1">
    <w:p w:rsidR="000D3B6E" w:rsidRPr="000D3B6E" w:rsidRDefault="002A250E" w:rsidP="000D3B6E">
      <w:pPr>
        <w:shd w:val="clear" w:color="auto" w:fill="FFFFFF"/>
        <w:ind w:right="150"/>
        <w:rPr>
          <w:rFonts w:ascii="Times New Roman" w:hAnsi="Times New Roman"/>
          <w:color w:val="1F497D"/>
          <w:sz w:val="20"/>
          <w:szCs w:val="20"/>
          <w:lang w:val="en-US"/>
        </w:rPr>
      </w:pPr>
      <w:r w:rsidRPr="000D3B6E">
        <w:rPr>
          <w:rStyle w:val="FootnoteReference"/>
          <w:rFonts w:ascii="Times New Roman" w:hAnsi="Times New Roman"/>
          <w:sz w:val="20"/>
          <w:szCs w:val="20"/>
        </w:rPr>
        <w:footnoteRef/>
      </w:r>
      <w:r w:rsidRPr="000D3B6E">
        <w:rPr>
          <w:sz w:val="20"/>
          <w:szCs w:val="20"/>
        </w:rPr>
        <w:t xml:space="preserve"> </w:t>
      </w:r>
      <w:r w:rsidRPr="000D3B6E">
        <w:rPr>
          <w:rFonts w:ascii="Times New Roman" w:hAnsi="Times New Roman"/>
          <w:sz w:val="20"/>
          <w:szCs w:val="20"/>
        </w:rPr>
        <w:t xml:space="preserve">Sheri Markose is the corresponding author.  She is a professor at the Economics Department of the University </w:t>
      </w:r>
      <w:r w:rsidR="00B81B86" w:rsidRPr="000D3B6E">
        <w:rPr>
          <w:rFonts w:ascii="Times New Roman" w:hAnsi="Times New Roman"/>
          <w:sz w:val="20"/>
          <w:szCs w:val="20"/>
        </w:rPr>
        <w:t>o</w:t>
      </w:r>
      <w:r w:rsidRPr="000D3B6E">
        <w:rPr>
          <w:rFonts w:ascii="Times New Roman" w:hAnsi="Times New Roman"/>
          <w:sz w:val="20"/>
          <w:szCs w:val="20"/>
        </w:rPr>
        <w:t>f</w:t>
      </w:r>
      <w:r w:rsidR="00B81B86" w:rsidRPr="000D3B6E">
        <w:rPr>
          <w:rFonts w:ascii="Times New Roman" w:hAnsi="Times New Roman"/>
          <w:sz w:val="20"/>
          <w:szCs w:val="20"/>
        </w:rPr>
        <w:t xml:space="preserve"> </w:t>
      </w:r>
      <w:r w:rsidRPr="000D3B6E">
        <w:rPr>
          <w:rFonts w:ascii="Times New Roman" w:hAnsi="Times New Roman"/>
          <w:sz w:val="20"/>
          <w:szCs w:val="20"/>
        </w:rPr>
        <w:t xml:space="preserve">Essex.  </w:t>
      </w:r>
      <w:r w:rsidR="0027237A" w:rsidRPr="000D3B6E">
        <w:rPr>
          <w:rFonts w:ascii="Times New Roman" w:hAnsi="Times New Roman"/>
          <w:sz w:val="20"/>
          <w:szCs w:val="20"/>
        </w:rPr>
        <w:br/>
      </w:r>
      <w:r w:rsidRPr="000D3B6E">
        <w:rPr>
          <w:rFonts w:ascii="Times New Roman" w:hAnsi="Times New Roman"/>
          <w:sz w:val="20"/>
          <w:szCs w:val="20"/>
        </w:rPr>
        <w:t xml:space="preserve">*Centre For Computational Finance and Economic Agents, University of Essex and Alberta Investment Management  Corporation </w:t>
      </w:r>
      <w:r w:rsidRPr="000D3B6E">
        <w:rPr>
          <w:rFonts w:ascii="Times New Roman" w:hAnsi="Times New Roman"/>
          <w:sz w:val="20"/>
          <w:szCs w:val="20"/>
        </w:rPr>
        <w:br/>
        <w:t>#Bath Management School</w:t>
      </w:r>
      <w:r w:rsidR="0027237A" w:rsidRPr="000D3B6E">
        <w:rPr>
          <w:rFonts w:ascii="Times New Roman" w:hAnsi="Times New Roman"/>
          <w:sz w:val="20"/>
          <w:szCs w:val="20"/>
        </w:rPr>
        <w:t xml:space="preserve">, University of Bath </w:t>
      </w:r>
      <w:r w:rsidR="0027237A" w:rsidRPr="000D3B6E">
        <w:rPr>
          <w:rFonts w:ascii="Times New Roman" w:hAnsi="Times New Roman"/>
          <w:sz w:val="20"/>
          <w:szCs w:val="20"/>
        </w:rPr>
        <w:br/>
      </w:r>
      <w:r w:rsidR="0027237A" w:rsidRPr="000D3B6E">
        <w:rPr>
          <w:rFonts w:ascii="Times New Roman" w:hAnsi="Times New Roman"/>
          <w:sz w:val="20"/>
          <w:szCs w:val="20"/>
        </w:rPr>
        <w:t xml:space="preserve">This is forthcoming as a Chapter in </w:t>
      </w:r>
      <w:r w:rsidR="0027237A" w:rsidRPr="000D3B6E">
        <w:rPr>
          <w:rFonts w:ascii="Times New Roman" w:hAnsi="Times New Roman"/>
          <w:i/>
          <w:sz w:val="20"/>
          <w:szCs w:val="20"/>
          <w:u w:val="single"/>
        </w:rPr>
        <w:t xml:space="preserve">Simulation in Computational Finance and Economics: Tools and Emerging Applications  </w:t>
      </w:r>
      <w:r w:rsidR="0027237A" w:rsidRPr="000D3B6E">
        <w:rPr>
          <w:rFonts w:ascii="Times New Roman" w:hAnsi="Times New Roman"/>
          <w:b/>
          <w:i/>
          <w:sz w:val="20"/>
          <w:szCs w:val="20"/>
        </w:rPr>
        <w:t xml:space="preserve"> Editor(s):  </w:t>
      </w:r>
      <w:r w:rsidR="0027237A" w:rsidRPr="000D3B6E">
        <w:rPr>
          <w:rFonts w:ascii="Times New Roman" w:hAnsi="Times New Roman"/>
          <w:i/>
          <w:sz w:val="20"/>
          <w:szCs w:val="20"/>
        </w:rPr>
        <w:t>Alexandrova-Kabadjova B., S. Martinez-Jaramillo, A. L. Garcia-Almanza, E. Tsang</w:t>
      </w:r>
      <w:r w:rsidR="0027237A" w:rsidRPr="000D3B6E">
        <w:rPr>
          <w:rFonts w:ascii="Times New Roman" w:hAnsi="Times New Roman"/>
          <w:i/>
          <w:sz w:val="20"/>
          <w:szCs w:val="20"/>
        </w:rPr>
        <w:t xml:space="preserve">, </w:t>
      </w:r>
      <w:r w:rsidR="000D3B6E" w:rsidRPr="000D3B6E">
        <w:rPr>
          <w:rFonts w:ascii="Times New Roman" w:hAnsi="Times New Roman"/>
          <w:color w:val="1F497D"/>
          <w:sz w:val="20"/>
          <w:szCs w:val="20"/>
          <w:lang w:val="en-US"/>
        </w:rPr>
        <w:t>IGI Global, August 2012.</w:t>
      </w:r>
    </w:p>
    <w:p w:rsidR="0027237A" w:rsidRPr="0027237A" w:rsidRDefault="0027237A" w:rsidP="0027237A">
      <w:pPr>
        <w:rPr>
          <w:rFonts w:ascii="Times New Roman" w:hAnsi="Times New Roman"/>
          <w:i/>
          <w:sz w:val="20"/>
          <w:szCs w:val="20"/>
        </w:rPr>
      </w:pPr>
    </w:p>
    <w:p w:rsidR="002A250E" w:rsidRPr="002A250E" w:rsidRDefault="002A250E" w:rsidP="0027237A">
      <w:pPr>
        <w:rPr>
          <w:rFonts w:ascii="Times New Roman" w:hAnsi="Times New Roman"/>
        </w:rPr>
      </w:pPr>
    </w:p>
  </w:footnote>
  <w:footnote w:id="2">
    <w:p w:rsidR="002A250E" w:rsidRPr="004C5BB8" w:rsidRDefault="002A250E" w:rsidP="00773F3D">
      <w:pPr>
        <w:pStyle w:val="FootnoteText"/>
        <w:rPr>
          <w:rFonts w:ascii="Times New Roman" w:hAnsi="Times New Roman"/>
          <w:sz w:val="16"/>
          <w:szCs w:val="16"/>
        </w:rPr>
      </w:pPr>
      <w:r w:rsidRPr="004C5BB8">
        <w:rPr>
          <w:rStyle w:val="FootnoteReference"/>
          <w:rFonts w:ascii="Times New Roman" w:hAnsi="Times New Roman"/>
          <w:sz w:val="16"/>
          <w:szCs w:val="16"/>
        </w:rPr>
        <w:footnoteRef/>
      </w:r>
      <w:r w:rsidRPr="004C5BB8">
        <w:rPr>
          <w:rFonts w:ascii="Times New Roman" w:hAnsi="Times New Roman"/>
          <w:sz w:val="16"/>
          <w:szCs w:val="16"/>
        </w:rPr>
        <w:t xml:space="preserve"> </w:t>
      </w:r>
      <w:proofErr w:type="spellStart"/>
      <w:r w:rsidRPr="004C5BB8">
        <w:rPr>
          <w:rFonts w:ascii="Times New Roman" w:hAnsi="Times New Roman"/>
          <w:sz w:val="16"/>
          <w:szCs w:val="16"/>
        </w:rPr>
        <w:t>Alessandri</w:t>
      </w:r>
      <w:proofErr w:type="spellEnd"/>
      <w:r w:rsidRPr="004C5BB8">
        <w:rPr>
          <w:rFonts w:ascii="Times New Roman" w:hAnsi="Times New Roman"/>
          <w:sz w:val="16"/>
          <w:szCs w:val="16"/>
        </w:rPr>
        <w:t xml:space="preserve"> and Haldane (2009) have estimated US, UK and European tax payer bailout of key financial intermediaries since 2007 and prior to the May 2010 </w:t>
      </w:r>
      <w:proofErr w:type="spellStart"/>
      <w:r w:rsidRPr="004C5BB8">
        <w:rPr>
          <w:rFonts w:ascii="Times New Roman" w:hAnsi="Times New Roman"/>
          <w:sz w:val="16"/>
          <w:szCs w:val="16"/>
        </w:rPr>
        <w:t>Eurozone</w:t>
      </w:r>
      <w:proofErr w:type="spellEnd"/>
      <w:r w:rsidRPr="004C5BB8">
        <w:rPr>
          <w:rFonts w:ascii="Times New Roman" w:hAnsi="Times New Roman"/>
          <w:sz w:val="16"/>
          <w:szCs w:val="16"/>
        </w:rPr>
        <w:t xml:space="preserve"> sovereign debt crisis to have reached unprecedented amounts of over $14 </w:t>
      </w:r>
      <w:r>
        <w:rPr>
          <w:rFonts w:ascii="Times New Roman" w:hAnsi="Times New Roman"/>
          <w:sz w:val="16"/>
          <w:szCs w:val="16"/>
        </w:rPr>
        <w:t>t</w:t>
      </w:r>
      <w:r w:rsidRPr="004C5BB8">
        <w:rPr>
          <w:rFonts w:ascii="Times New Roman" w:hAnsi="Times New Roman"/>
          <w:sz w:val="16"/>
          <w:szCs w:val="16"/>
        </w:rPr>
        <w:t xml:space="preserve">rillion. </w:t>
      </w:r>
    </w:p>
  </w:footnote>
  <w:footnote w:id="3">
    <w:p w:rsidR="002A250E" w:rsidRPr="004C5BB8" w:rsidRDefault="002A250E">
      <w:pPr>
        <w:pStyle w:val="FootnoteText"/>
        <w:rPr>
          <w:rFonts w:ascii="Times New Roman" w:hAnsi="Times New Roman"/>
          <w:sz w:val="16"/>
          <w:szCs w:val="16"/>
        </w:rPr>
      </w:pPr>
      <w:r w:rsidRPr="004C5BB8">
        <w:rPr>
          <w:rStyle w:val="FootnoteReference"/>
          <w:rFonts w:ascii="Times New Roman" w:hAnsi="Times New Roman"/>
          <w:sz w:val="16"/>
          <w:szCs w:val="16"/>
        </w:rPr>
        <w:footnoteRef/>
      </w:r>
      <w:r w:rsidRPr="004C5BB8">
        <w:rPr>
          <w:rFonts w:ascii="Times New Roman" w:hAnsi="Times New Roman"/>
          <w:sz w:val="16"/>
          <w:szCs w:val="16"/>
        </w:rPr>
        <w:t xml:space="preserve"> </w:t>
      </w:r>
      <w:r>
        <w:rPr>
          <w:rFonts w:ascii="Times New Roman" w:hAnsi="Times New Roman"/>
          <w:sz w:val="16"/>
          <w:szCs w:val="16"/>
        </w:rPr>
        <w:t xml:space="preserve">Of the $8.5 trillion mortgage backed securities (see Figure 1) </w:t>
      </w:r>
      <w:r w:rsidRPr="004C5BB8">
        <w:rPr>
          <w:rFonts w:ascii="Times New Roman" w:hAnsi="Times New Roman"/>
          <w:sz w:val="16"/>
          <w:szCs w:val="16"/>
        </w:rPr>
        <w:t xml:space="preserve">over 85% of outstanding </w:t>
      </w:r>
      <w:r>
        <w:rPr>
          <w:rFonts w:ascii="Times New Roman" w:hAnsi="Times New Roman"/>
          <w:sz w:val="16"/>
          <w:szCs w:val="16"/>
        </w:rPr>
        <w:t xml:space="preserve">$2 Trillion </w:t>
      </w:r>
      <w:r w:rsidRPr="004C5BB8">
        <w:rPr>
          <w:rFonts w:ascii="Times New Roman" w:hAnsi="Times New Roman"/>
          <w:sz w:val="16"/>
          <w:szCs w:val="16"/>
        </w:rPr>
        <w:t>CDOs</w:t>
      </w:r>
      <w:r>
        <w:rPr>
          <w:rFonts w:ascii="Times New Roman" w:hAnsi="Times New Roman"/>
          <w:sz w:val="16"/>
          <w:szCs w:val="16"/>
        </w:rPr>
        <w:t xml:space="preserve"> at its peak in 2007 (see, Figure 2) was</w:t>
      </w:r>
      <w:r w:rsidRPr="004C5BB8">
        <w:rPr>
          <w:rFonts w:ascii="Times New Roman" w:hAnsi="Times New Roman"/>
          <w:sz w:val="16"/>
          <w:szCs w:val="16"/>
        </w:rPr>
        <w:t xml:space="preserve"> collateralized by MBS and about half of this was subprime RMBS.</w:t>
      </w:r>
      <w:r>
        <w:rPr>
          <w:rFonts w:ascii="Times New Roman" w:hAnsi="Times New Roman"/>
          <w:sz w:val="16"/>
          <w:szCs w:val="16"/>
        </w:rPr>
        <w:t xml:space="preserve">  Gorton (2009, Table 4) shows how of the total of $2.5 trillion subprime mortgages since 2001, $1.25 trillion was originated in 2005-6 alone and over 85% was securitized.   </w:t>
      </w:r>
    </w:p>
  </w:footnote>
  <w:footnote w:id="4">
    <w:p w:rsidR="002A250E" w:rsidRPr="00432CA0" w:rsidRDefault="002A250E" w:rsidP="00D21D70">
      <w:pPr>
        <w:pStyle w:val="FootnoteText"/>
        <w:rPr>
          <w:rFonts w:ascii="Times New Roman" w:hAnsi="Times New Roman"/>
          <w:sz w:val="16"/>
          <w:szCs w:val="16"/>
        </w:rPr>
      </w:pPr>
      <w:r w:rsidRPr="00432CA0">
        <w:rPr>
          <w:rStyle w:val="FootnoteReference"/>
          <w:rFonts w:ascii="Times New Roman" w:hAnsi="Times New Roman"/>
          <w:sz w:val="16"/>
          <w:szCs w:val="16"/>
        </w:rPr>
        <w:footnoteRef/>
      </w:r>
      <w:r w:rsidRPr="00432CA0">
        <w:rPr>
          <w:rFonts w:ascii="Times New Roman" w:hAnsi="Times New Roman"/>
          <w:sz w:val="16"/>
          <w:szCs w:val="16"/>
        </w:rPr>
        <w:t xml:space="preserve"> Note this is in addition to the $142 b</w:t>
      </w:r>
      <w:r>
        <w:rPr>
          <w:rFonts w:ascii="Times New Roman" w:hAnsi="Times New Roman"/>
          <w:sz w:val="16"/>
          <w:szCs w:val="16"/>
        </w:rPr>
        <w:t>illion</w:t>
      </w:r>
      <w:r w:rsidRPr="00432CA0">
        <w:rPr>
          <w:rFonts w:ascii="Times New Roman" w:hAnsi="Times New Roman"/>
          <w:sz w:val="16"/>
          <w:szCs w:val="16"/>
        </w:rPr>
        <w:t xml:space="preserve"> of RMBS purchased by the US Treasury Department during October 2008 – December </w:t>
      </w:r>
      <w:proofErr w:type="gramStart"/>
      <w:r w:rsidRPr="00432CA0">
        <w:rPr>
          <w:rFonts w:ascii="Times New Roman" w:hAnsi="Times New Roman"/>
          <w:sz w:val="16"/>
          <w:szCs w:val="16"/>
        </w:rPr>
        <w:t>2009 .</w:t>
      </w:r>
      <w:proofErr w:type="gramEnd"/>
    </w:p>
  </w:footnote>
  <w:footnote w:id="5">
    <w:p w:rsidR="002A250E" w:rsidRPr="00D161AC" w:rsidRDefault="002A250E">
      <w:pPr>
        <w:pStyle w:val="FootnoteText"/>
        <w:rPr>
          <w:rFonts w:ascii="Times New Roman" w:hAnsi="Times New Roman"/>
          <w:sz w:val="16"/>
          <w:szCs w:val="16"/>
        </w:rPr>
      </w:pPr>
      <w:r w:rsidRPr="00D161AC">
        <w:rPr>
          <w:rStyle w:val="FootnoteReference"/>
          <w:rFonts w:ascii="Times New Roman" w:hAnsi="Times New Roman"/>
          <w:sz w:val="16"/>
          <w:szCs w:val="16"/>
        </w:rPr>
        <w:footnoteRef/>
      </w:r>
      <w:r w:rsidRPr="00D161AC">
        <w:rPr>
          <w:rFonts w:ascii="Times New Roman" w:hAnsi="Times New Roman"/>
          <w:sz w:val="16"/>
          <w:szCs w:val="16"/>
        </w:rPr>
        <w:t xml:space="preserve"> CDS involve a bilateral contract between a buyer and the CDS protection seller who pays the buyer the gross notional value of the reference asset less the recovery rate at the time of the credit event which is typically default. The CDS buyer pays periodic </w:t>
      </w:r>
      <w:proofErr w:type="spellStart"/>
      <w:r w:rsidRPr="00D161AC">
        <w:rPr>
          <w:rFonts w:ascii="Times New Roman" w:hAnsi="Times New Roman"/>
          <w:sz w:val="16"/>
          <w:szCs w:val="16"/>
        </w:rPr>
        <w:t>premia</w:t>
      </w:r>
      <w:proofErr w:type="spellEnd"/>
      <w:r w:rsidRPr="00D161AC">
        <w:rPr>
          <w:rFonts w:ascii="Times New Roman" w:hAnsi="Times New Roman"/>
          <w:sz w:val="16"/>
          <w:szCs w:val="16"/>
        </w:rPr>
        <w:t xml:space="preserve"> called the CDS spread.</w:t>
      </w:r>
    </w:p>
  </w:footnote>
  <w:footnote w:id="6">
    <w:p w:rsidR="002A250E" w:rsidRPr="004C5BB8" w:rsidRDefault="002A250E" w:rsidP="00AC64D0">
      <w:pPr>
        <w:autoSpaceDE w:val="0"/>
        <w:autoSpaceDN w:val="0"/>
        <w:adjustRightInd w:val="0"/>
        <w:spacing w:after="0" w:line="240" w:lineRule="auto"/>
        <w:rPr>
          <w:rFonts w:ascii="Times New Roman" w:hAnsi="Times New Roman"/>
          <w:sz w:val="16"/>
          <w:szCs w:val="16"/>
          <w:lang w:eastAsia="en-GB"/>
        </w:rPr>
      </w:pPr>
      <w:r w:rsidRPr="004C5BB8">
        <w:rPr>
          <w:rStyle w:val="FootnoteReference"/>
          <w:rFonts w:ascii="Times New Roman" w:hAnsi="Times New Roman"/>
          <w:sz w:val="16"/>
          <w:szCs w:val="16"/>
        </w:rPr>
        <w:footnoteRef/>
      </w:r>
      <w:r w:rsidRPr="004C5BB8">
        <w:rPr>
          <w:rFonts w:ascii="Times New Roman" w:hAnsi="Times New Roman"/>
          <w:sz w:val="16"/>
          <w:szCs w:val="16"/>
        </w:rPr>
        <w:t xml:space="preserve"> </w:t>
      </w:r>
      <w:proofErr w:type="spellStart"/>
      <w:r w:rsidRPr="004C5BB8">
        <w:rPr>
          <w:rFonts w:ascii="Times New Roman" w:hAnsi="Times New Roman"/>
          <w:sz w:val="16"/>
          <w:szCs w:val="16"/>
        </w:rPr>
        <w:t>Cannata</w:t>
      </w:r>
      <w:proofErr w:type="spellEnd"/>
      <w:r w:rsidRPr="004C5BB8">
        <w:rPr>
          <w:rFonts w:ascii="Times New Roman" w:hAnsi="Times New Roman"/>
          <w:sz w:val="16"/>
          <w:szCs w:val="16"/>
        </w:rPr>
        <w:t xml:space="preserve"> and </w:t>
      </w:r>
      <w:proofErr w:type="spellStart"/>
      <w:r w:rsidRPr="004C5BB8">
        <w:rPr>
          <w:rFonts w:ascii="Times New Roman" w:hAnsi="Times New Roman"/>
          <w:sz w:val="16"/>
          <w:szCs w:val="16"/>
        </w:rPr>
        <w:t>Quaglianello</w:t>
      </w:r>
      <w:proofErr w:type="spellEnd"/>
      <w:r w:rsidRPr="004C5BB8">
        <w:rPr>
          <w:rFonts w:ascii="Times New Roman" w:hAnsi="Times New Roman"/>
          <w:sz w:val="16"/>
          <w:szCs w:val="16"/>
        </w:rPr>
        <w:t xml:space="preserve"> ( 2009) seem to </w:t>
      </w:r>
      <w:r>
        <w:rPr>
          <w:rFonts w:ascii="Times New Roman" w:hAnsi="Times New Roman"/>
          <w:sz w:val="16"/>
          <w:szCs w:val="16"/>
        </w:rPr>
        <w:t xml:space="preserve">have some misconceptions </w:t>
      </w:r>
      <w:r w:rsidRPr="004C5BB8">
        <w:rPr>
          <w:rFonts w:ascii="Times New Roman" w:hAnsi="Times New Roman"/>
          <w:sz w:val="16"/>
          <w:szCs w:val="16"/>
        </w:rPr>
        <w:t xml:space="preserve">about the factors behind the genesis of the modifications to Basel I with  risk weighted capital requirements and the role of the US in initiating them as early as 1999, as they  go on to state: “ </w:t>
      </w:r>
      <w:r w:rsidRPr="004C5BB8">
        <w:rPr>
          <w:rFonts w:ascii="Times New Roman" w:hAnsi="Times New Roman"/>
          <w:sz w:val="16"/>
          <w:szCs w:val="16"/>
          <w:lang w:eastAsia="en-GB"/>
        </w:rPr>
        <w:t>Basel II, our suspect, was not on the crime scene or, rather, showed up later.</w:t>
      </w:r>
      <w:r>
        <w:rPr>
          <w:rFonts w:ascii="Times New Roman" w:hAnsi="Times New Roman"/>
          <w:sz w:val="16"/>
          <w:szCs w:val="16"/>
          <w:lang w:eastAsia="en-GB"/>
        </w:rPr>
        <w:t xml:space="preserve"> </w:t>
      </w:r>
      <w:r w:rsidRPr="004C5BB8">
        <w:rPr>
          <w:rFonts w:ascii="Times New Roman" w:hAnsi="Times New Roman"/>
          <w:sz w:val="16"/>
          <w:szCs w:val="16"/>
          <w:lang w:eastAsia="en-GB"/>
        </w:rPr>
        <w:t xml:space="preserve"> In the United States, the epicentre of the financial crisis, the introduction of the new prudential discipline has been postponed (so far) to 2010 and will involve a limited number of banks. In Europe, the actual use of the new rules was very limited in 2007, when the crisis erupted. Indeed, most banks exploited the provisions of the Capital Requirements Directive</w:t>
      </w:r>
      <w:r>
        <w:rPr>
          <w:rFonts w:ascii="Times New Roman" w:hAnsi="Times New Roman"/>
          <w:sz w:val="16"/>
          <w:szCs w:val="16"/>
          <w:lang w:eastAsia="en-GB"/>
        </w:rPr>
        <w:t xml:space="preserve"> </w:t>
      </w:r>
      <w:r w:rsidRPr="004C5BB8">
        <w:rPr>
          <w:rFonts w:ascii="Times New Roman" w:hAnsi="Times New Roman"/>
          <w:sz w:val="16"/>
          <w:szCs w:val="16"/>
          <w:lang w:eastAsia="en-GB"/>
        </w:rPr>
        <w:t>(which implemented Basel II in the EU) which allowed them to defer to 2008 the application of</w:t>
      </w:r>
    </w:p>
    <w:p w:rsidR="002A250E" w:rsidRPr="004C5BB8" w:rsidRDefault="002A250E" w:rsidP="005873EC">
      <w:pPr>
        <w:autoSpaceDE w:val="0"/>
        <w:autoSpaceDN w:val="0"/>
        <w:adjustRightInd w:val="0"/>
        <w:spacing w:after="0" w:line="240" w:lineRule="auto"/>
        <w:rPr>
          <w:rFonts w:ascii="Times New Roman" w:hAnsi="Times New Roman"/>
          <w:sz w:val="16"/>
          <w:szCs w:val="16"/>
        </w:rPr>
      </w:pPr>
      <w:proofErr w:type="gramStart"/>
      <w:r w:rsidRPr="004C5BB8">
        <w:rPr>
          <w:rFonts w:ascii="Times New Roman" w:hAnsi="Times New Roman"/>
          <w:sz w:val="16"/>
          <w:szCs w:val="16"/>
          <w:lang w:eastAsia="en-GB"/>
        </w:rPr>
        <w:t>the</w:t>
      </w:r>
      <w:proofErr w:type="gramEnd"/>
      <w:r w:rsidRPr="004C5BB8">
        <w:rPr>
          <w:rFonts w:ascii="Times New Roman" w:hAnsi="Times New Roman"/>
          <w:sz w:val="16"/>
          <w:szCs w:val="16"/>
          <w:lang w:eastAsia="en-GB"/>
        </w:rPr>
        <w:t xml:space="preserve"> new Framework. …  The financial turbulence occurred under the “old” Basel framework, making very palpable its shortcomings, particularly its low risk-sensitivity and the scarce adaptability to</w:t>
      </w:r>
      <w:r>
        <w:rPr>
          <w:rFonts w:ascii="Times New Roman" w:hAnsi="Times New Roman"/>
          <w:sz w:val="16"/>
          <w:szCs w:val="16"/>
          <w:lang w:eastAsia="en-GB"/>
        </w:rPr>
        <w:t xml:space="preserve"> </w:t>
      </w:r>
      <w:r w:rsidRPr="004C5BB8">
        <w:rPr>
          <w:rFonts w:ascii="Times New Roman" w:hAnsi="Times New Roman"/>
          <w:sz w:val="16"/>
          <w:szCs w:val="16"/>
          <w:lang w:eastAsia="en-GB"/>
        </w:rPr>
        <w:t xml:space="preserve">financial innovation.” </w:t>
      </w:r>
      <w:proofErr w:type="spellStart"/>
      <w:proofErr w:type="gramStart"/>
      <w:r>
        <w:rPr>
          <w:rFonts w:ascii="Times New Roman" w:hAnsi="Times New Roman"/>
          <w:sz w:val="16"/>
          <w:szCs w:val="16"/>
          <w:lang w:eastAsia="en-GB"/>
        </w:rPr>
        <w:t>Lall</w:t>
      </w:r>
      <w:proofErr w:type="spellEnd"/>
      <w:r>
        <w:rPr>
          <w:rFonts w:ascii="Times New Roman" w:hAnsi="Times New Roman"/>
          <w:sz w:val="16"/>
          <w:szCs w:val="16"/>
          <w:lang w:eastAsia="en-GB"/>
        </w:rPr>
        <w:t>(</w:t>
      </w:r>
      <w:proofErr w:type="gramEnd"/>
      <w:r>
        <w:rPr>
          <w:rFonts w:ascii="Times New Roman" w:hAnsi="Times New Roman"/>
          <w:sz w:val="16"/>
          <w:szCs w:val="16"/>
          <w:lang w:eastAsia="en-GB"/>
        </w:rPr>
        <w:t>2009) and Blundell-</w:t>
      </w:r>
      <w:proofErr w:type="spellStart"/>
      <w:r>
        <w:rPr>
          <w:rFonts w:ascii="Times New Roman" w:hAnsi="Times New Roman"/>
          <w:sz w:val="16"/>
          <w:szCs w:val="16"/>
          <w:lang w:eastAsia="en-GB"/>
        </w:rPr>
        <w:t>Wignall</w:t>
      </w:r>
      <w:proofErr w:type="spellEnd"/>
      <w:r>
        <w:rPr>
          <w:rFonts w:ascii="Times New Roman" w:hAnsi="Times New Roman"/>
          <w:sz w:val="16"/>
          <w:szCs w:val="16"/>
          <w:lang w:eastAsia="en-GB"/>
        </w:rPr>
        <w:t xml:space="preserve"> and Atkinson (2008) say banks began to adapt  to the new regulatory incentives  from 2004.  </w:t>
      </w:r>
      <w:r w:rsidRPr="004C5BB8">
        <w:rPr>
          <w:rFonts w:ascii="Times New Roman" w:hAnsi="Times New Roman"/>
          <w:sz w:val="16"/>
          <w:szCs w:val="16"/>
          <w:lang w:eastAsia="en-GB"/>
        </w:rPr>
        <w:t xml:space="preserve"> </w:t>
      </w:r>
    </w:p>
  </w:footnote>
  <w:footnote w:id="7">
    <w:p w:rsidR="002A250E" w:rsidRPr="005C0F25" w:rsidRDefault="002A250E">
      <w:pPr>
        <w:pStyle w:val="FootnoteText"/>
        <w:rPr>
          <w:rFonts w:ascii="Times New Roman" w:hAnsi="Times New Roman"/>
          <w:sz w:val="16"/>
          <w:szCs w:val="16"/>
        </w:rPr>
      </w:pPr>
      <w:r w:rsidRPr="00EB0245">
        <w:rPr>
          <w:rStyle w:val="FootnoteReference"/>
          <w:rFonts w:ascii="Times New Roman" w:hAnsi="Times New Roman"/>
          <w:sz w:val="16"/>
          <w:szCs w:val="16"/>
        </w:rPr>
        <w:footnoteRef/>
      </w:r>
      <w:r w:rsidRPr="00EB0245">
        <w:rPr>
          <w:rFonts w:ascii="Times New Roman" w:hAnsi="Times New Roman"/>
          <w:sz w:val="16"/>
          <w:szCs w:val="16"/>
        </w:rPr>
        <w:t xml:space="preserve"> Network models have been scrutinized for their use in financial contagion and crisis management at the recent ECB Workshop on</w:t>
      </w:r>
      <w:r w:rsidRPr="00EB0245">
        <w:rPr>
          <w:rFonts w:ascii="Times New Roman" w:hAnsi="Times New Roman"/>
          <w:i/>
          <w:sz w:val="16"/>
          <w:szCs w:val="16"/>
        </w:rPr>
        <w:t xml:space="preserve"> Recent Advances </w:t>
      </w:r>
      <w:proofErr w:type="gramStart"/>
      <w:r w:rsidRPr="00EB0245">
        <w:rPr>
          <w:rFonts w:ascii="Times New Roman" w:hAnsi="Times New Roman"/>
          <w:i/>
          <w:sz w:val="16"/>
          <w:szCs w:val="16"/>
        </w:rPr>
        <w:t>in  Modelling</w:t>
      </w:r>
      <w:proofErr w:type="gramEnd"/>
      <w:r w:rsidRPr="00EB0245">
        <w:rPr>
          <w:rFonts w:ascii="Times New Roman" w:hAnsi="Times New Roman"/>
          <w:i/>
          <w:sz w:val="16"/>
          <w:szCs w:val="16"/>
        </w:rPr>
        <w:t xml:space="preserve"> Systemic Risk Using Network Analysis, </w:t>
      </w:r>
      <w:r w:rsidRPr="00EB0245">
        <w:rPr>
          <w:rFonts w:ascii="Times New Roman" w:hAnsi="Times New Roman"/>
          <w:sz w:val="16"/>
          <w:szCs w:val="16"/>
        </w:rPr>
        <w:t xml:space="preserve">5 October 2009 and at the IMF Workshop </w:t>
      </w:r>
      <w:r w:rsidRPr="00EB0245">
        <w:rPr>
          <w:rFonts w:ascii="Times New Roman" w:hAnsi="Times New Roman"/>
          <w:i/>
          <w:sz w:val="16"/>
          <w:szCs w:val="16"/>
        </w:rPr>
        <w:t>On Operationalizing</w:t>
      </w:r>
      <w:r w:rsidRPr="00EB0245">
        <w:rPr>
          <w:rFonts w:ascii="Times New Roman" w:hAnsi="Times New Roman"/>
          <w:sz w:val="16"/>
          <w:szCs w:val="16"/>
        </w:rPr>
        <w:t xml:space="preserve"> </w:t>
      </w:r>
      <w:r w:rsidRPr="00EB0245">
        <w:rPr>
          <w:rFonts w:ascii="Times New Roman" w:hAnsi="Times New Roman"/>
          <w:i/>
          <w:sz w:val="16"/>
          <w:szCs w:val="16"/>
        </w:rPr>
        <w:t>Systemic Risk</w:t>
      </w:r>
      <w:r w:rsidRPr="00EB0245">
        <w:rPr>
          <w:rFonts w:ascii="Times New Roman" w:hAnsi="Times New Roman"/>
          <w:sz w:val="16"/>
          <w:szCs w:val="16"/>
        </w:rPr>
        <w:t xml:space="preserve"> </w:t>
      </w:r>
      <w:r w:rsidRPr="00EB0245">
        <w:rPr>
          <w:rFonts w:ascii="Times New Roman" w:hAnsi="Times New Roman"/>
          <w:i/>
          <w:sz w:val="16"/>
          <w:szCs w:val="16"/>
        </w:rPr>
        <w:t>Monitoring</w:t>
      </w:r>
      <w:r w:rsidRPr="00EB0245">
        <w:rPr>
          <w:rFonts w:ascii="Times New Roman" w:hAnsi="Times New Roman"/>
          <w:sz w:val="16"/>
          <w:szCs w:val="16"/>
        </w:rPr>
        <w:t xml:space="preserve">  26-28 May 2010.  See also the June 2010 Conference Report  on </w:t>
      </w:r>
      <w:r w:rsidRPr="00EB0245">
        <w:rPr>
          <w:rFonts w:ascii="Times New Roman" w:hAnsi="Times New Roman"/>
          <w:i/>
          <w:sz w:val="16"/>
          <w:szCs w:val="16"/>
        </w:rPr>
        <w:t xml:space="preserve">Frameworks For Systemic Risk Monitoring </w:t>
      </w:r>
      <w:r w:rsidRPr="00EB0245">
        <w:rPr>
          <w:rFonts w:ascii="Times New Roman" w:hAnsi="Times New Roman"/>
          <w:sz w:val="16"/>
          <w:szCs w:val="16"/>
        </w:rPr>
        <w:t xml:space="preserve"> organized by Alan King, John </w:t>
      </w:r>
      <w:proofErr w:type="spellStart"/>
      <w:r w:rsidRPr="00EB0245">
        <w:rPr>
          <w:rFonts w:ascii="Times New Roman" w:hAnsi="Times New Roman"/>
          <w:sz w:val="16"/>
          <w:szCs w:val="16"/>
        </w:rPr>
        <w:t>Lietchy</w:t>
      </w:r>
      <w:proofErr w:type="spellEnd"/>
      <w:r w:rsidRPr="00EB0245">
        <w:rPr>
          <w:rFonts w:ascii="Times New Roman" w:hAnsi="Times New Roman"/>
          <w:sz w:val="16"/>
          <w:szCs w:val="16"/>
        </w:rPr>
        <w:t>, Clif</w:t>
      </w:r>
      <w:r>
        <w:rPr>
          <w:rFonts w:ascii="Times New Roman" w:hAnsi="Times New Roman"/>
          <w:sz w:val="16"/>
          <w:szCs w:val="16"/>
        </w:rPr>
        <w:t xml:space="preserve">ford Ross and Charles Taylor.  Sheri Markose and Simone Giansante were contributors to the first two workshops and are currently involved in MAFN models for the digital mapping of the Indian financial system to monitor system risk.  See also Markose (2012, forthcoming) which is based on the talk at the IMF on 7 December 2011 on “Systemic Risk From Global Financial </w:t>
      </w:r>
      <w:proofErr w:type="gramStart"/>
      <w:r>
        <w:rPr>
          <w:rFonts w:ascii="Times New Roman" w:hAnsi="Times New Roman"/>
          <w:sz w:val="16"/>
          <w:szCs w:val="16"/>
        </w:rPr>
        <w:t>Derivatives :</w:t>
      </w:r>
      <w:proofErr w:type="gramEnd"/>
      <w:r>
        <w:rPr>
          <w:rFonts w:ascii="Times New Roman" w:hAnsi="Times New Roman"/>
          <w:sz w:val="16"/>
          <w:szCs w:val="16"/>
        </w:rPr>
        <w:t xml:space="preserve"> A Network Analysis of Contagion and Its Mitigation With a Super-spreader Tax”.  Here, it is shown how n</w:t>
      </w:r>
      <w:r w:rsidRPr="00A873C2">
        <w:rPr>
          <w:rFonts w:ascii="Times New Roman" w:hAnsi="Times New Roman"/>
          <w:sz w:val="16"/>
          <w:szCs w:val="16"/>
        </w:rPr>
        <w:t xml:space="preserve">egative externalities in the way of systemic risk from the failure of highly interconnected financial intermediaries can be measured and penalized using </w:t>
      </w:r>
      <w:r>
        <w:rPr>
          <w:rFonts w:ascii="Times New Roman" w:hAnsi="Times New Roman"/>
          <w:sz w:val="16"/>
          <w:szCs w:val="16"/>
        </w:rPr>
        <w:t xml:space="preserve">the </w:t>
      </w:r>
      <w:r w:rsidRPr="00A873C2">
        <w:rPr>
          <w:rFonts w:ascii="Times New Roman" w:hAnsi="Times New Roman"/>
          <w:sz w:val="16"/>
          <w:szCs w:val="16"/>
        </w:rPr>
        <w:t>eigenvector centrality measure</w:t>
      </w:r>
      <w:r>
        <w:rPr>
          <w:rFonts w:ascii="Times New Roman" w:hAnsi="Times New Roman"/>
          <w:sz w:val="16"/>
          <w:szCs w:val="16"/>
        </w:rPr>
        <w:t xml:space="preserve">.  These sources can be referred to for details on financial networks which are omitted in this paper. </w:t>
      </w:r>
    </w:p>
  </w:footnote>
  <w:footnote w:id="8">
    <w:p w:rsidR="002A250E" w:rsidRPr="00323E08" w:rsidRDefault="002A250E" w:rsidP="00A80DB2">
      <w:pPr>
        <w:pStyle w:val="FootnoteText"/>
        <w:rPr>
          <w:rFonts w:ascii="Times New Roman" w:hAnsi="Times New Roman"/>
          <w:sz w:val="18"/>
          <w:szCs w:val="18"/>
        </w:rPr>
      </w:pPr>
      <w:r w:rsidRPr="00323E08">
        <w:rPr>
          <w:rStyle w:val="FootnoteReference"/>
          <w:rFonts w:ascii="Times New Roman" w:hAnsi="Times New Roman"/>
          <w:sz w:val="18"/>
          <w:szCs w:val="18"/>
        </w:rPr>
        <w:footnoteRef/>
      </w:r>
      <w:r>
        <w:rPr>
          <w:rFonts w:ascii="Times New Roman" w:hAnsi="Times New Roman"/>
          <w:sz w:val="18"/>
          <w:szCs w:val="18"/>
        </w:rPr>
        <w:t xml:space="preserve"> The 2006</w:t>
      </w:r>
      <w:r w:rsidRPr="00323E08">
        <w:rPr>
          <w:rFonts w:ascii="Times New Roman" w:hAnsi="Times New Roman"/>
          <w:sz w:val="18"/>
          <w:szCs w:val="18"/>
        </w:rPr>
        <w:t xml:space="preserve"> Q 4 BIS Report on CDS protection buyers and sellers showed that 49% of protection selling in the CDS market was done by non-bank entities. At the end of 2007, the capital base of </w:t>
      </w:r>
      <w:proofErr w:type="spellStart"/>
      <w:r w:rsidRPr="00323E08">
        <w:rPr>
          <w:rFonts w:ascii="Times New Roman" w:hAnsi="Times New Roman"/>
          <w:sz w:val="18"/>
          <w:szCs w:val="18"/>
        </w:rPr>
        <w:t>Monolines</w:t>
      </w:r>
      <w:proofErr w:type="spellEnd"/>
      <w:r w:rsidRPr="00323E08">
        <w:rPr>
          <w:rFonts w:ascii="Times New Roman" w:hAnsi="Times New Roman"/>
          <w:sz w:val="18"/>
          <w:szCs w:val="18"/>
        </w:rPr>
        <w:t xml:space="preserve"> was approximately $20 </w:t>
      </w:r>
      <w:proofErr w:type="spellStart"/>
      <w:r w:rsidRPr="00323E08">
        <w:rPr>
          <w:rFonts w:ascii="Times New Roman" w:hAnsi="Times New Roman"/>
          <w:sz w:val="18"/>
          <w:szCs w:val="18"/>
        </w:rPr>
        <w:t>bn</w:t>
      </w:r>
      <w:proofErr w:type="spellEnd"/>
      <w:r w:rsidRPr="00323E08">
        <w:rPr>
          <w:rFonts w:ascii="Times New Roman" w:hAnsi="Times New Roman"/>
          <w:sz w:val="18"/>
          <w:szCs w:val="18"/>
        </w:rPr>
        <w:t xml:space="preserve"> and their insurance guarantees are to the tune of $2.3 </w:t>
      </w:r>
      <w:proofErr w:type="spellStart"/>
      <w:proofErr w:type="gramStart"/>
      <w:r w:rsidRPr="00323E08">
        <w:rPr>
          <w:rFonts w:ascii="Times New Roman" w:hAnsi="Times New Roman"/>
          <w:sz w:val="18"/>
          <w:szCs w:val="18"/>
        </w:rPr>
        <w:t>tn</w:t>
      </w:r>
      <w:proofErr w:type="spellEnd"/>
      <w:proofErr w:type="gramEnd"/>
      <w:r w:rsidRPr="00323E08">
        <w:rPr>
          <w:rFonts w:ascii="Times New Roman" w:hAnsi="Times New Roman"/>
          <w:sz w:val="18"/>
          <w:szCs w:val="18"/>
        </w:rPr>
        <w:t xml:space="preserve"> implying leverage of 115. </w:t>
      </w:r>
    </w:p>
  </w:footnote>
  <w:footnote w:id="9">
    <w:p w:rsidR="002A250E" w:rsidRPr="000616C4" w:rsidRDefault="002A250E">
      <w:pPr>
        <w:pStyle w:val="FootnoteText"/>
        <w:rPr>
          <w:rFonts w:ascii="Times New Roman" w:hAnsi="Times New Roman"/>
          <w:sz w:val="18"/>
          <w:szCs w:val="18"/>
        </w:rPr>
      </w:pPr>
      <w:r w:rsidRPr="000616C4">
        <w:rPr>
          <w:rStyle w:val="FootnoteReference"/>
          <w:rFonts w:ascii="Times New Roman" w:hAnsi="Times New Roman"/>
          <w:sz w:val="18"/>
          <w:szCs w:val="18"/>
        </w:rPr>
        <w:footnoteRef/>
      </w:r>
      <w:r w:rsidRPr="000616C4">
        <w:rPr>
          <w:rFonts w:ascii="Times New Roman" w:hAnsi="Times New Roman"/>
          <w:sz w:val="18"/>
          <w:szCs w:val="18"/>
        </w:rPr>
        <w:t xml:space="preserve"> The FDIC Call Report </w:t>
      </w:r>
      <w:r>
        <w:rPr>
          <w:rFonts w:ascii="Times New Roman" w:hAnsi="Times New Roman"/>
          <w:sz w:val="18"/>
          <w:szCs w:val="18"/>
        </w:rPr>
        <w:t>c</w:t>
      </w:r>
      <w:r w:rsidRPr="000616C4">
        <w:rPr>
          <w:rFonts w:ascii="Times New Roman" w:hAnsi="Times New Roman"/>
          <w:sz w:val="18"/>
          <w:szCs w:val="18"/>
        </w:rPr>
        <w:t xml:space="preserve">ode for this is RCFDG404. </w:t>
      </w:r>
    </w:p>
  </w:footnote>
  <w:footnote w:id="10">
    <w:p w:rsidR="002A250E" w:rsidRPr="000616C4" w:rsidRDefault="002A250E" w:rsidP="007E71EC">
      <w:pPr>
        <w:pStyle w:val="FootnoteText"/>
        <w:rPr>
          <w:rFonts w:ascii="Times New Roman" w:hAnsi="Times New Roman"/>
          <w:sz w:val="18"/>
          <w:szCs w:val="18"/>
        </w:rPr>
      </w:pPr>
      <w:r w:rsidRPr="000616C4">
        <w:rPr>
          <w:rStyle w:val="FootnoteReference"/>
          <w:rFonts w:ascii="Times New Roman" w:hAnsi="Times New Roman"/>
          <w:sz w:val="18"/>
          <w:szCs w:val="18"/>
        </w:rPr>
        <w:footnoteRef/>
      </w:r>
      <w:r w:rsidRPr="000616C4">
        <w:rPr>
          <w:rFonts w:ascii="Times New Roman" w:hAnsi="Times New Roman"/>
          <w:sz w:val="18"/>
          <w:szCs w:val="18"/>
        </w:rPr>
        <w:t xml:space="preserve"> Assuming a capital charge of 4% on RMBS assets without CDS cover, the capital charge is 1.6% with AAA CDS cover, the savings are 240 basis points. </w:t>
      </w:r>
      <w:r>
        <w:rPr>
          <w:rFonts w:ascii="Times New Roman" w:hAnsi="Times New Roman"/>
          <w:sz w:val="18"/>
          <w:szCs w:val="18"/>
        </w:rPr>
        <w:t xml:space="preserve">How much asset accumulation can be leveraged from this capital savings depends on the capital charge and the interest rates.  This is discussed in Section 3.3.   </w:t>
      </w:r>
    </w:p>
  </w:footnote>
  <w:footnote w:id="11">
    <w:p w:rsidR="002A250E" w:rsidRPr="00F855AA" w:rsidRDefault="002A250E" w:rsidP="00B27B4D">
      <w:pPr>
        <w:jc w:val="both"/>
        <w:rPr>
          <w:rFonts w:ascii="Times New Roman" w:hAnsi="Times New Roman"/>
          <w:bCs/>
          <w:sz w:val="18"/>
          <w:szCs w:val="18"/>
          <w:lang w:eastAsia="zh-CN"/>
        </w:rPr>
      </w:pPr>
      <w:r w:rsidRPr="000616C4">
        <w:rPr>
          <w:rStyle w:val="FootnoteReference"/>
          <w:rFonts w:ascii="Times New Roman" w:hAnsi="Times New Roman"/>
          <w:sz w:val="18"/>
          <w:szCs w:val="18"/>
        </w:rPr>
        <w:footnoteRef/>
      </w:r>
      <w:r w:rsidRPr="000616C4">
        <w:rPr>
          <w:rFonts w:ascii="Times New Roman" w:hAnsi="Times New Roman"/>
          <w:sz w:val="18"/>
          <w:szCs w:val="18"/>
        </w:rPr>
        <w:t xml:space="preserve"> </w:t>
      </w:r>
      <w:bookmarkStart w:id="0" w:name="OLE_LINK3"/>
      <w:r w:rsidRPr="000616C4">
        <w:rPr>
          <w:rFonts w:ascii="Times New Roman" w:hAnsi="Times New Roman"/>
          <w:sz w:val="18"/>
          <w:szCs w:val="18"/>
          <w:lang w:eastAsia="en-GB"/>
        </w:rPr>
        <w:t xml:space="preserve">Fed Reserve Board Basel II Capital Accord Notice of Proposed Rulemaking (NPR) and Supporting Board Documents Draft Basel II NPR - Proposed Regulatory Text - Part V Risk-Weighted Assets for Securitization Exposures March 30, 2006 </w:t>
      </w:r>
      <w:r w:rsidRPr="000616C4">
        <w:rPr>
          <w:rFonts w:ascii="Times New Roman" w:hAnsi="Times New Roman"/>
          <w:noProof/>
          <w:color w:val="0000FF"/>
          <w:sz w:val="18"/>
          <w:szCs w:val="18"/>
          <w:lang w:eastAsia="en-GB"/>
        </w:rPr>
        <w:drawing>
          <wp:inline distT="0" distB="0" distL="0" distR="0">
            <wp:extent cx="9525" cy="9525"/>
            <wp:effectExtent l="19050" t="0" r="9525" b="0"/>
            <wp:docPr id="28" name="Picture 28" descr="Skip repetitive navigation">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kip repetitive navigation"/>
                    <pic:cNvPicPr>
                      <a:picLocks noChangeAspect="1" noChangeArrowheads="1"/>
                    </pic:cNvPicPr>
                  </pic:nvPicPr>
                  <pic:blipFill>
                    <a:blip r:embed="rId2"/>
                    <a:srcRect/>
                    <a:stretch>
                      <a:fillRect/>
                    </a:stretch>
                  </pic:blipFill>
                  <pic:spPr bwMode="auto">
                    <a:xfrm>
                      <a:off x="0" y="0"/>
                      <a:ext cx="9525" cy="9525"/>
                    </a:xfrm>
                    <a:prstGeom prst="rect">
                      <a:avLst/>
                    </a:prstGeom>
                    <a:noFill/>
                    <a:ln w="9525">
                      <a:noFill/>
                      <a:miter lim="800000"/>
                      <a:headEnd/>
                      <a:tailEnd/>
                    </a:ln>
                  </pic:spPr>
                </pic:pic>
              </a:graphicData>
            </a:graphic>
          </wp:inline>
        </w:drawing>
      </w:r>
      <w:hyperlink r:id="rId3" w:history="1">
        <w:r w:rsidRPr="000616C4">
          <w:rPr>
            <w:rStyle w:val="Hyperlink"/>
            <w:rFonts w:ascii="Times New Roman" w:hAnsi="Times New Roman"/>
            <w:bCs/>
            <w:sz w:val="18"/>
            <w:szCs w:val="18"/>
            <w:lang w:eastAsia="zh-CN"/>
          </w:rPr>
          <w:t>http://www.federalreserve.gov/GeneralInfo/basel2/DraftNPR/NPR/part_5.htm</w:t>
        </w:r>
      </w:hyperlink>
      <w:bookmarkEnd w:id="0"/>
      <w:r w:rsidRPr="000616C4">
        <w:rPr>
          <w:rFonts w:ascii="Times New Roman" w:hAnsi="Times New Roman"/>
          <w:bCs/>
          <w:sz w:val="18"/>
          <w:szCs w:val="18"/>
          <w:lang w:eastAsia="zh-CN"/>
        </w:rPr>
        <w:t xml:space="preserve"> </w:t>
      </w:r>
      <w:r w:rsidRPr="000616C4">
        <w:rPr>
          <w:rFonts w:ascii="Times New Roman" w:hAnsi="Times New Roman"/>
          <w:sz w:val="18"/>
          <w:szCs w:val="18"/>
        </w:rPr>
        <w:t xml:space="preserve">See also Federal Register Vol. 71, No. 247, </w:t>
      </w:r>
      <w:r w:rsidRPr="00F855AA">
        <w:rPr>
          <w:rFonts w:ascii="Times New Roman" w:hAnsi="Times New Roman"/>
          <w:sz w:val="18"/>
          <w:szCs w:val="18"/>
        </w:rPr>
        <w:t xml:space="preserve">Dec 2006, Proposed Rules and Basle Committee for Banking Supervision. </w:t>
      </w:r>
    </w:p>
  </w:footnote>
  <w:footnote w:id="12">
    <w:p w:rsidR="002A250E" w:rsidRPr="00F855AA" w:rsidRDefault="002A250E" w:rsidP="00036229">
      <w:pPr>
        <w:pStyle w:val="FootnoteText"/>
        <w:rPr>
          <w:rFonts w:ascii="Times New Roman" w:hAnsi="Times New Roman"/>
        </w:rPr>
      </w:pPr>
      <w:r w:rsidRPr="00F855AA">
        <w:rPr>
          <w:rStyle w:val="FootnoteReference"/>
          <w:rFonts w:ascii="Times New Roman" w:hAnsi="Times New Roman"/>
        </w:rPr>
        <w:footnoteRef/>
      </w:r>
      <w:r w:rsidRPr="00F855AA">
        <w:rPr>
          <w:rFonts w:ascii="Times New Roman" w:hAnsi="Times New Roman"/>
        </w:rPr>
        <w:t xml:space="preserve"> </w:t>
      </w:r>
      <w:r w:rsidRPr="00F855AA">
        <w:rPr>
          <w:rFonts w:ascii="Times New Roman" w:hAnsi="Times New Roman"/>
          <w:sz w:val="16"/>
          <w:szCs w:val="16"/>
        </w:rPr>
        <w:t xml:space="preserve">The answer to question C regarding US FRB supervisory rule </w:t>
      </w:r>
      <w:proofErr w:type="gramStart"/>
      <w:r w:rsidRPr="00F855AA">
        <w:rPr>
          <w:rFonts w:ascii="Times New Roman" w:hAnsi="Times New Roman"/>
          <w:sz w:val="16"/>
          <w:szCs w:val="16"/>
        </w:rPr>
        <w:t>No</w:t>
      </w:r>
      <w:proofErr w:type="gramEnd"/>
      <w:r w:rsidRPr="00F855AA">
        <w:rPr>
          <w:rFonts w:ascii="Times New Roman" w:hAnsi="Times New Roman"/>
          <w:sz w:val="16"/>
          <w:szCs w:val="16"/>
        </w:rPr>
        <w:t xml:space="preserve">. SR 99-32 dated </w:t>
      </w:r>
      <w:smartTag w:uri="urn:schemas-microsoft-com:office:smarttags" w:element="date">
        <w:smartTagPr>
          <w:attr w:name="Month" w:val="11"/>
          <w:attr w:name="Day" w:val="15"/>
          <w:attr w:name="Year" w:val="1999"/>
        </w:smartTagPr>
        <w:r w:rsidRPr="00F855AA">
          <w:rPr>
            <w:rFonts w:ascii="Times New Roman" w:hAnsi="Times New Roman"/>
            <w:sz w:val="16"/>
            <w:szCs w:val="16"/>
          </w:rPr>
          <w:t>15 November 1999</w:t>
        </w:r>
      </w:smartTag>
      <w:r w:rsidRPr="00F855AA">
        <w:rPr>
          <w:rFonts w:ascii="Times New Roman" w:hAnsi="Times New Roman"/>
          <w:sz w:val="16"/>
          <w:szCs w:val="16"/>
        </w:rPr>
        <w:t xml:space="preserve"> in its final form which was implemented in January 2002 gives an explanation of the capital treatment of synthetic collateralized loans.  This can be found </w:t>
      </w:r>
      <w:proofErr w:type="gramStart"/>
      <w:r w:rsidRPr="00F855AA">
        <w:rPr>
          <w:rFonts w:ascii="Times New Roman" w:hAnsi="Times New Roman"/>
          <w:sz w:val="16"/>
          <w:szCs w:val="16"/>
        </w:rPr>
        <w:t xml:space="preserve">at  </w:t>
      </w:r>
      <w:proofErr w:type="gramEnd"/>
      <w:r>
        <w:fldChar w:fldCharType="begin"/>
      </w:r>
      <w:r>
        <w:instrText>HYPERLINK "http://www.federalreserve.gov/boarddocs/srletters/2002/SR0216a1.pdf"</w:instrText>
      </w:r>
      <w:r>
        <w:fldChar w:fldCharType="separate"/>
      </w:r>
      <w:r w:rsidRPr="00F855AA">
        <w:rPr>
          <w:rStyle w:val="Hyperlink"/>
          <w:rFonts w:ascii="Times New Roman" w:hAnsi="Times New Roman"/>
          <w:sz w:val="16"/>
          <w:szCs w:val="16"/>
        </w:rPr>
        <w:t>www.</w:t>
      </w:r>
      <w:r w:rsidRPr="00F855AA">
        <w:rPr>
          <w:rStyle w:val="Hyperlink"/>
          <w:rFonts w:ascii="Times New Roman" w:hAnsi="Times New Roman"/>
          <w:b/>
          <w:bCs/>
          <w:sz w:val="16"/>
          <w:szCs w:val="16"/>
        </w:rPr>
        <w:t>federalreserve</w:t>
      </w:r>
      <w:r w:rsidRPr="00F855AA">
        <w:rPr>
          <w:rStyle w:val="Hyperlink"/>
          <w:rFonts w:ascii="Times New Roman" w:hAnsi="Times New Roman"/>
          <w:sz w:val="16"/>
          <w:szCs w:val="16"/>
        </w:rPr>
        <w:t>.gov/boarddocs/srletters/2002/SR0216a1.pdf</w:t>
      </w:r>
      <w:r>
        <w:fldChar w:fldCharType="end"/>
      </w:r>
      <w:r w:rsidRPr="00F855AA">
        <w:rPr>
          <w:rFonts w:ascii="Times New Roman" w:hAnsi="Times New Roman"/>
          <w:color w:val="000000"/>
          <w:sz w:val="16"/>
          <w:szCs w:val="16"/>
        </w:rPr>
        <w:t xml:space="preserve"> .  </w:t>
      </w:r>
    </w:p>
  </w:footnote>
  <w:footnote w:id="13">
    <w:p w:rsidR="002A250E" w:rsidRPr="00103794" w:rsidRDefault="002A250E" w:rsidP="00103794">
      <w:pPr>
        <w:pStyle w:val="Heading3"/>
        <w:numPr>
          <w:ilvl w:val="0"/>
          <w:numId w:val="0"/>
        </w:numPr>
        <w:ind w:left="720" w:hanging="720"/>
        <w:jc w:val="left"/>
        <w:rPr>
          <w:rFonts w:ascii="Times New Roman" w:hAnsi="Times New Roman"/>
          <w:color w:val="000000"/>
          <w:sz w:val="18"/>
          <w:szCs w:val="18"/>
        </w:rPr>
      </w:pPr>
      <w:r w:rsidRPr="00103794">
        <w:rPr>
          <w:rStyle w:val="FootnoteReference"/>
          <w:rFonts w:ascii="Times New Roman" w:hAnsi="Times New Roman"/>
          <w:sz w:val="18"/>
          <w:szCs w:val="18"/>
        </w:rPr>
        <w:footnoteRef/>
      </w:r>
      <w:r w:rsidRPr="00103794">
        <w:rPr>
          <w:rFonts w:ascii="Times New Roman" w:hAnsi="Times New Roman"/>
          <w:sz w:val="18"/>
          <w:szCs w:val="18"/>
        </w:rPr>
        <w:t xml:space="preserve">  </w:t>
      </w:r>
      <w:r w:rsidRPr="001F510C">
        <w:rPr>
          <w:rFonts w:ascii="Times New Roman" w:hAnsi="Times New Roman"/>
          <w:b w:val="0"/>
          <w:sz w:val="18"/>
          <w:szCs w:val="18"/>
        </w:rPr>
        <w:t xml:space="preserve">The related document </w:t>
      </w:r>
      <w:proofErr w:type="gramStart"/>
      <w:r w:rsidRPr="001F510C">
        <w:rPr>
          <w:rFonts w:ascii="Times New Roman" w:hAnsi="Times New Roman"/>
          <w:b w:val="0"/>
          <w:sz w:val="18"/>
          <w:szCs w:val="18"/>
        </w:rPr>
        <w:t xml:space="preserve">is  </w:t>
      </w:r>
      <w:proofErr w:type="gramEnd"/>
      <w:r>
        <w:fldChar w:fldCharType="begin"/>
      </w:r>
      <w:r>
        <w:instrText>HYPERLINK "http://www.occ.treas.gov/news-issuances/bulletins/1999/bulletin-1999-43a.pdf" \t "_blank"</w:instrText>
      </w:r>
      <w:r>
        <w:fldChar w:fldCharType="separate"/>
      </w:r>
      <w:r w:rsidRPr="001F510C">
        <w:rPr>
          <w:rStyle w:val="Hyperlink"/>
          <w:rFonts w:ascii="Times New Roman" w:hAnsi="Times New Roman"/>
          <w:b w:val="0"/>
          <w:sz w:val="18"/>
          <w:szCs w:val="18"/>
        </w:rPr>
        <w:t xml:space="preserve">Capital Interpretations Synthetic </w:t>
      </w:r>
      <w:proofErr w:type="spellStart"/>
      <w:r w:rsidRPr="001F510C">
        <w:rPr>
          <w:rStyle w:val="Hyperlink"/>
          <w:rFonts w:ascii="Times New Roman" w:hAnsi="Times New Roman"/>
          <w:b w:val="0"/>
          <w:sz w:val="18"/>
          <w:szCs w:val="18"/>
        </w:rPr>
        <w:t>Collaterized</w:t>
      </w:r>
      <w:proofErr w:type="spellEnd"/>
      <w:r w:rsidRPr="001F510C">
        <w:rPr>
          <w:rStyle w:val="Hyperlink"/>
          <w:rFonts w:ascii="Times New Roman" w:hAnsi="Times New Roman"/>
          <w:b w:val="0"/>
          <w:sz w:val="18"/>
          <w:szCs w:val="18"/>
        </w:rPr>
        <w:t xml:space="preserve"> Loan Obligations</w:t>
      </w:r>
      <w:r>
        <w:fldChar w:fldCharType="end"/>
      </w:r>
      <w:r w:rsidRPr="001F510C">
        <w:rPr>
          <w:rFonts w:ascii="Times New Roman" w:hAnsi="Times New Roman"/>
          <w:b w:val="0"/>
          <w:color w:val="000000"/>
          <w:sz w:val="18"/>
          <w:szCs w:val="18"/>
        </w:rPr>
        <w:t xml:space="preserve"> at</w:t>
      </w:r>
    </w:p>
    <w:p w:rsidR="002A250E" w:rsidRPr="00103794" w:rsidRDefault="002A250E" w:rsidP="00103794">
      <w:pPr>
        <w:spacing w:line="480" w:lineRule="auto"/>
        <w:jc w:val="both"/>
        <w:rPr>
          <w:sz w:val="18"/>
          <w:szCs w:val="18"/>
        </w:rPr>
      </w:pPr>
      <w:r w:rsidRPr="00103794">
        <w:rPr>
          <w:rFonts w:ascii="Times New Roman" w:hAnsi="Times New Roman"/>
          <w:i/>
          <w:sz w:val="18"/>
          <w:szCs w:val="18"/>
        </w:rPr>
        <w:t xml:space="preserve">http://www.occ.treas.gov/news-issuances/bulletins/1999/bulletin-1999-43.html </w:t>
      </w:r>
    </w:p>
  </w:footnote>
  <w:footnote w:id="14">
    <w:p w:rsidR="002A250E" w:rsidRPr="00A37386" w:rsidRDefault="002A250E">
      <w:pPr>
        <w:pStyle w:val="FootnoteText"/>
        <w:rPr>
          <w:rFonts w:ascii="Times New Roman" w:hAnsi="Times New Roman"/>
          <w:sz w:val="18"/>
          <w:szCs w:val="18"/>
        </w:rPr>
      </w:pPr>
      <w:r w:rsidRPr="00A37386">
        <w:rPr>
          <w:rStyle w:val="FootnoteReference"/>
          <w:rFonts w:ascii="Times New Roman" w:hAnsi="Times New Roman"/>
          <w:sz w:val="18"/>
          <w:szCs w:val="18"/>
        </w:rPr>
        <w:footnoteRef/>
      </w:r>
      <w:r w:rsidRPr="00A37386">
        <w:rPr>
          <w:rFonts w:ascii="Times New Roman" w:hAnsi="Times New Roman"/>
          <w:sz w:val="18"/>
          <w:szCs w:val="18"/>
        </w:rPr>
        <w:t xml:space="preserve"> In a Moody’s report, Hu</w:t>
      </w:r>
      <w:r>
        <w:rPr>
          <w:rFonts w:ascii="Times New Roman" w:hAnsi="Times New Roman"/>
          <w:sz w:val="18"/>
          <w:szCs w:val="18"/>
        </w:rPr>
        <w:t xml:space="preserve"> </w:t>
      </w:r>
      <w:r w:rsidRPr="00A37386">
        <w:rPr>
          <w:rFonts w:ascii="Times New Roman" w:hAnsi="Times New Roman"/>
          <w:sz w:val="18"/>
          <w:szCs w:val="18"/>
        </w:rPr>
        <w:t xml:space="preserve">(2007) notes that the </w:t>
      </w:r>
      <w:proofErr w:type="spellStart"/>
      <w:proofErr w:type="gramStart"/>
      <w:r w:rsidRPr="00A37386">
        <w:rPr>
          <w:rFonts w:ascii="Times New Roman" w:hAnsi="Times New Roman"/>
          <w:sz w:val="18"/>
          <w:szCs w:val="18"/>
        </w:rPr>
        <w:t>Aaa</w:t>
      </w:r>
      <w:proofErr w:type="spellEnd"/>
      <w:proofErr w:type="gramEnd"/>
      <w:r w:rsidRPr="00A37386">
        <w:rPr>
          <w:rFonts w:ascii="Times New Roman" w:hAnsi="Times New Roman"/>
          <w:sz w:val="18"/>
          <w:szCs w:val="18"/>
        </w:rPr>
        <w:t xml:space="preserve"> tranche of the CDO accounts for 85% of </w:t>
      </w:r>
      <w:r>
        <w:rPr>
          <w:rFonts w:ascii="Times New Roman" w:hAnsi="Times New Roman"/>
          <w:sz w:val="18"/>
          <w:szCs w:val="18"/>
        </w:rPr>
        <w:t xml:space="preserve">the dollar value starting from about 1999. </w:t>
      </w:r>
      <w:r w:rsidRPr="00A37386">
        <w:rPr>
          <w:rFonts w:ascii="Times New Roman" w:hAnsi="Times New Roman"/>
          <w:sz w:val="18"/>
          <w:szCs w:val="18"/>
        </w:rPr>
        <w:t xml:space="preserve">  </w:t>
      </w:r>
    </w:p>
  </w:footnote>
  <w:footnote w:id="15">
    <w:p w:rsidR="002A250E" w:rsidRPr="001E2C56" w:rsidRDefault="002A250E">
      <w:pPr>
        <w:pStyle w:val="FootnoteText"/>
        <w:rPr>
          <w:rFonts w:ascii="Times New Roman" w:hAnsi="Times New Roman"/>
          <w:sz w:val="18"/>
          <w:szCs w:val="18"/>
        </w:rPr>
      </w:pPr>
      <w:r w:rsidRPr="001E2C56">
        <w:rPr>
          <w:rStyle w:val="FootnoteReference"/>
          <w:rFonts w:ascii="Times New Roman" w:hAnsi="Times New Roman"/>
          <w:sz w:val="18"/>
          <w:szCs w:val="18"/>
        </w:rPr>
        <w:footnoteRef/>
      </w:r>
      <w:r w:rsidRPr="001E2C56">
        <w:rPr>
          <w:rFonts w:ascii="Times New Roman" w:hAnsi="Times New Roman"/>
          <w:sz w:val="18"/>
          <w:szCs w:val="18"/>
        </w:rPr>
        <w:t xml:space="preserve"> </w:t>
      </w:r>
      <w:proofErr w:type="spellStart"/>
      <w:r w:rsidRPr="001E2C56">
        <w:rPr>
          <w:rFonts w:ascii="Times New Roman" w:hAnsi="Times New Roman"/>
          <w:sz w:val="18"/>
          <w:szCs w:val="18"/>
        </w:rPr>
        <w:t>Choudhry</w:t>
      </w:r>
      <w:proofErr w:type="spellEnd"/>
      <w:r w:rsidRPr="001E2C56">
        <w:rPr>
          <w:rFonts w:ascii="Times New Roman" w:hAnsi="Times New Roman"/>
          <w:sz w:val="18"/>
          <w:szCs w:val="18"/>
        </w:rPr>
        <w:t xml:space="preserve"> (2004, 2006a, b) provide</w:t>
      </w:r>
      <w:r w:rsidR="00B81B86">
        <w:rPr>
          <w:rFonts w:ascii="Times New Roman" w:hAnsi="Times New Roman"/>
          <w:sz w:val="18"/>
          <w:szCs w:val="18"/>
        </w:rPr>
        <w:t>s</w:t>
      </w:r>
      <w:r w:rsidRPr="001E2C56">
        <w:rPr>
          <w:rFonts w:ascii="Times New Roman" w:hAnsi="Times New Roman"/>
          <w:sz w:val="18"/>
          <w:szCs w:val="18"/>
        </w:rPr>
        <w:t xml:space="preserve"> strong evidence of continuous arbitrage opportunities in the credit risk markets</w:t>
      </w:r>
      <w:r>
        <w:rPr>
          <w:rFonts w:ascii="Times New Roman" w:hAnsi="Times New Roman"/>
          <w:sz w:val="18"/>
          <w:szCs w:val="18"/>
        </w:rPr>
        <w:t xml:space="preserve"> in general</w:t>
      </w:r>
      <w:r w:rsidRPr="001E2C56">
        <w:rPr>
          <w:rFonts w:ascii="Times New Roman" w:hAnsi="Times New Roman"/>
          <w:sz w:val="18"/>
          <w:szCs w:val="18"/>
        </w:rPr>
        <w:t xml:space="preserve">. </w:t>
      </w:r>
      <w:r w:rsidR="00B81B86">
        <w:rPr>
          <w:rFonts w:ascii="Times New Roman" w:hAnsi="Times New Roman"/>
          <w:sz w:val="18"/>
          <w:szCs w:val="18"/>
        </w:rPr>
        <w:t>F</w:t>
      </w:r>
      <w:r w:rsidRPr="001E2C56">
        <w:rPr>
          <w:rFonts w:ascii="Times New Roman" w:hAnsi="Times New Roman"/>
          <w:sz w:val="18"/>
          <w:szCs w:val="18"/>
        </w:rPr>
        <w:t>or example as of October 2006, a third of the 150 actively traded US corporate bonds studied had a negative</w:t>
      </w:r>
      <w:r>
        <w:rPr>
          <w:rFonts w:ascii="Times New Roman" w:hAnsi="Times New Roman"/>
          <w:sz w:val="18"/>
          <w:szCs w:val="18"/>
        </w:rPr>
        <w:t xml:space="preserve"> CDS</w:t>
      </w:r>
      <w:r w:rsidRPr="001E2C56">
        <w:rPr>
          <w:rFonts w:ascii="Times New Roman" w:hAnsi="Times New Roman"/>
          <w:sz w:val="18"/>
          <w:szCs w:val="18"/>
        </w:rPr>
        <w:t xml:space="preserve"> basis of above 10bps with some trading at a basis in excess of 30bps</w:t>
      </w:r>
      <w:r>
        <w:rPr>
          <w:rFonts w:ascii="Times New Roman" w:hAnsi="Times New Roman"/>
          <w:sz w:val="18"/>
          <w:szCs w:val="18"/>
        </w:rPr>
        <w:t xml:space="preserve">. </w:t>
      </w:r>
      <w:proofErr w:type="spellStart"/>
      <w:r w:rsidRPr="001E2C56">
        <w:rPr>
          <w:rFonts w:ascii="Times New Roman" w:hAnsi="Times New Roman"/>
          <w:sz w:val="18"/>
          <w:szCs w:val="18"/>
        </w:rPr>
        <w:t>Choudh</w:t>
      </w:r>
      <w:r>
        <w:rPr>
          <w:rFonts w:ascii="Times New Roman" w:hAnsi="Times New Roman"/>
          <w:sz w:val="18"/>
          <w:szCs w:val="18"/>
        </w:rPr>
        <w:t>r</w:t>
      </w:r>
      <w:r w:rsidRPr="001E2C56">
        <w:rPr>
          <w:rFonts w:ascii="Times New Roman" w:hAnsi="Times New Roman"/>
          <w:sz w:val="18"/>
          <w:szCs w:val="18"/>
        </w:rPr>
        <w:t>y</w:t>
      </w:r>
      <w:proofErr w:type="spellEnd"/>
      <w:r w:rsidRPr="001E2C56">
        <w:rPr>
          <w:rFonts w:ascii="Times New Roman" w:hAnsi="Times New Roman"/>
          <w:sz w:val="18"/>
          <w:szCs w:val="18"/>
        </w:rPr>
        <w:t xml:space="preserve"> (2005), further notes that whilst positive basis tend to exist in conventional credit markets, prolonged negative basis are prevalent in structured finance and asset-backed securities markets.</w:t>
      </w:r>
    </w:p>
  </w:footnote>
  <w:footnote w:id="16">
    <w:p w:rsidR="002A250E" w:rsidRPr="00A873C2" w:rsidRDefault="002A250E">
      <w:pPr>
        <w:pStyle w:val="FootnoteText"/>
        <w:rPr>
          <w:rFonts w:ascii="Times New Roman" w:hAnsi="Times New Roman"/>
          <w:sz w:val="16"/>
          <w:szCs w:val="16"/>
        </w:rPr>
      </w:pPr>
      <w:r w:rsidRPr="00A873C2">
        <w:rPr>
          <w:rStyle w:val="FootnoteReference"/>
          <w:rFonts w:ascii="Times New Roman" w:hAnsi="Times New Roman"/>
          <w:sz w:val="16"/>
          <w:szCs w:val="16"/>
        </w:rPr>
        <w:footnoteRef/>
      </w:r>
      <w:r w:rsidRPr="00A873C2">
        <w:rPr>
          <w:rFonts w:ascii="Times New Roman" w:hAnsi="Times New Roman"/>
          <w:sz w:val="16"/>
          <w:szCs w:val="16"/>
        </w:rPr>
        <w:t xml:space="preserve"> This allocation follows the typical ABX-HE tranche allocations at issuance where the senior tranche equates to the AAA rated band.  See Table 4 in Stanton and Wallace (2009). This assumption is also made by Nomura Fixed Income Research in the release “The CMBX: The Future is Here” March 23, 2006.</w:t>
      </w:r>
    </w:p>
  </w:footnote>
  <w:footnote w:id="17">
    <w:p w:rsidR="002A250E" w:rsidRPr="00A873C2" w:rsidRDefault="002A250E">
      <w:pPr>
        <w:pStyle w:val="FootnoteText"/>
        <w:rPr>
          <w:rFonts w:ascii="Times New Roman" w:hAnsi="Times New Roman"/>
          <w:sz w:val="16"/>
          <w:szCs w:val="16"/>
        </w:rPr>
      </w:pPr>
      <w:r w:rsidRPr="00A873C2">
        <w:rPr>
          <w:rStyle w:val="FootnoteReference"/>
          <w:rFonts w:ascii="Times New Roman" w:hAnsi="Times New Roman"/>
          <w:sz w:val="16"/>
          <w:szCs w:val="16"/>
        </w:rPr>
        <w:footnoteRef/>
      </w:r>
      <w:r w:rsidRPr="00A873C2">
        <w:rPr>
          <w:rFonts w:ascii="Times New Roman" w:hAnsi="Times New Roman"/>
          <w:sz w:val="16"/>
          <w:szCs w:val="16"/>
        </w:rPr>
        <w:t xml:space="preserve"> We will only revalue using the ABX-HE prices, the tranches constituted post 2006.  The pre-2006 tranches which suffered </w:t>
      </w:r>
      <w:proofErr w:type="spellStart"/>
      <w:r w:rsidRPr="00A873C2">
        <w:rPr>
          <w:rFonts w:ascii="Times New Roman" w:hAnsi="Times New Roman"/>
          <w:sz w:val="16"/>
          <w:szCs w:val="16"/>
        </w:rPr>
        <w:t>down grades</w:t>
      </w:r>
      <w:proofErr w:type="spellEnd"/>
      <w:r w:rsidRPr="00A873C2">
        <w:rPr>
          <w:rFonts w:ascii="Times New Roman" w:hAnsi="Times New Roman"/>
          <w:sz w:val="16"/>
          <w:szCs w:val="16"/>
        </w:rPr>
        <w:t xml:space="preserve"> especially for the vintages of 1999-2001 (see, </w:t>
      </w:r>
      <w:proofErr w:type="spellStart"/>
      <w:r w:rsidRPr="00A873C2">
        <w:rPr>
          <w:rFonts w:ascii="Times New Roman" w:hAnsi="Times New Roman"/>
          <w:sz w:val="16"/>
          <w:szCs w:val="16"/>
        </w:rPr>
        <w:t>Hu</w:t>
      </w:r>
      <w:proofErr w:type="spellEnd"/>
      <w:r w:rsidRPr="00A873C2">
        <w:rPr>
          <w:rFonts w:ascii="Times New Roman" w:hAnsi="Times New Roman"/>
          <w:sz w:val="16"/>
          <w:szCs w:val="16"/>
        </w:rPr>
        <w:t xml:space="preserve"> (2007)) will not be </w:t>
      </w:r>
      <w:proofErr w:type="spellStart"/>
      <w:r w:rsidRPr="00A873C2">
        <w:rPr>
          <w:rFonts w:ascii="Times New Roman" w:hAnsi="Times New Roman"/>
          <w:sz w:val="16"/>
          <w:szCs w:val="16"/>
        </w:rPr>
        <w:t>revalued</w:t>
      </w:r>
      <w:proofErr w:type="spellEnd"/>
      <w:r w:rsidRPr="00A873C2">
        <w:rPr>
          <w:rFonts w:ascii="Times New Roman" w:hAnsi="Times New Roman"/>
          <w:sz w:val="16"/>
          <w:szCs w:val="16"/>
        </w:rPr>
        <w:t xml:space="preserve"> in the 2006-7 period.  This will cause overvaluations of RMBS holding for early entrants to the structured finance CDO market such as Bank of America and HSBC. </w:t>
      </w:r>
    </w:p>
  </w:footnote>
  <w:footnote w:id="18">
    <w:p w:rsidR="002A250E" w:rsidRPr="00BE18EA" w:rsidRDefault="002A250E">
      <w:pPr>
        <w:pStyle w:val="FootnoteText"/>
        <w:rPr>
          <w:rFonts w:ascii="Times New Roman" w:hAnsi="Times New Roman"/>
        </w:rPr>
      </w:pPr>
      <w:r w:rsidRPr="00BE18EA">
        <w:rPr>
          <w:rStyle w:val="FootnoteReference"/>
          <w:rFonts w:ascii="Times New Roman" w:hAnsi="Times New Roman"/>
        </w:rPr>
        <w:footnoteRef/>
      </w:r>
      <w:r w:rsidRPr="00BE18EA">
        <w:rPr>
          <w:rFonts w:ascii="Times New Roman" w:hAnsi="Times New Roman"/>
        </w:rPr>
        <w:t xml:space="preserve"> In the Appendix</w:t>
      </w:r>
      <w:r w:rsidR="007136E5">
        <w:rPr>
          <w:rFonts w:ascii="Times New Roman" w:hAnsi="Times New Roman"/>
        </w:rPr>
        <w:t>,</w:t>
      </w:r>
      <w:r w:rsidRPr="00BE18EA">
        <w:rPr>
          <w:rFonts w:ascii="Times New Roman" w:hAnsi="Times New Roman"/>
        </w:rPr>
        <w:t xml:space="preserve"> we give the FDIC Schedules and codes from which the data was extracted. </w:t>
      </w:r>
    </w:p>
  </w:footnote>
  <w:footnote w:id="19">
    <w:p w:rsidR="002A250E" w:rsidRPr="0048444A" w:rsidRDefault="002A250E" w:rsidP="00E64412">
      <w:pPr>
        <w:spacing w:line="240" w:lineRule="auto"/>
        <w:rPr>
          <w:rFonts w:ascii="Times New Roman" w:hAnsi="Times New Roman"/>
          <w:sz w:val="18"/>
          <w:szCs w:val="18"/>
        </w:rPr>
      </w:pPr>
      <w:r w:rsidRPr="0048444A">
        <w:rPr>
          <w:rStyle w:val="FootnoteReference"/>
          <w:rFonts w:ascii="Times New Roman" w:hAnsi="Times New Roman"/>
          <w:sz w:val="18"/>
          <w:szCs w:val="18"/>
        </w:rPr>
        <w:footnoteRef/>
      </w:r>
      <w:r w:rsidRPr="0048444A">
        <w:rPr>
          <w:rFonts w:ascii="Times New Roman" w:hAnsi="Times New Roman"/>
          <w:sz w:val="18"/>
          <w:szCs w:val="18"/>
        </w:rPr>
        <w:t xml:space="preserve"> Note during this period there was also an explosion in both RMBS issuance and reported residential loan origination by Citibank, N.A. RMBS issuance by Citibank increased from US$1.3bn in 2006Q3 to a peak of US$579.5bn by 2007Q1.  The total notional outstanding on residential mortgage loans over the same period rose by over ten times its 2006Q3 level of US$20.2bn to its 2007Q4 peak of US$205.7bn.  This coincided with the massive restructuring which commenced in October of 2006 and saw the consolidation of Citibank, FSB, Citibank (West) FSB, formerly California Federal Bank and Golden State Bank, Citibank, Texas, N.A., Citibank Delaware, Citibank </w:t>
      </w:r>
      <w:proofErr w:type="spellStart"/>
      <w:r w:rsidRPr="0048444A">
        <w:rPr>
          <w:rFonts w:ascii="Times New Roman" w:hAnsi="Times New Roman"/>
          <w:sz w:val="18"/>
          <w:szCs w:val="18"/>
        </w:rPr>
        <w:t>Banamex</w:t>
      </w:r>
      <w:proofErr w:type="spellEnd"/>
      <w:r w:rsidRPr="0048444A">
        <w:rPr>
          <w:rFonts w:ascii="Times New Roman" w:hAnsi="Times New Roman"/>
          <w:sz w:val="18"/>
          <w:szCs w:val="18"/>
        </w:rPr>
        <w:t xml:space="preserve"> USA formally California Commerce Bank and Citicorp Trust, N.A. (California) into Citibank, N.A. Prior to this restructure Citibank, N.A., the original Citibank, had primarily served New York State and the New York metropolitan area.</w:t>
      </w:r>
    </w:p>
    <w:p w:rsidR="002A250E" w:rsidRDefault="002A250E" w:rsidP="00E64412">
      <w:pPr>
        <w:pStyle w:val="FootnoteText"/>
      </w:pPr>
    </w:p>
  </w:footnote>
  <w:footnote w:id="20">
    <w:p w:rsidR="002A250E" w:rsidRPr="003238D3" w:rsidRDefault="002A250E" w:rsidP="00C87EA4">
      <w:pPr>
        <w:pStyle w:val="FootnoteText"/>
        <w:rPr>
          <w:rFonts w:ascii="Times New Roman" w:hAnsi="Times New Roman"/>
          <w:sz w:val="18"/>
          <w:szCs w:val="18"/>
        </w:rPr>
      </w:pPr>
      <w:r w:rsidRPr="003238D3">
        <w:rPr>
          <w:rStyle w:val="FootnoteReference"/>
          <w:rFonts w:ascii="Times New Roman" w:hAnsi="Times New Roman"/>
          <w:sz w:val="18"/>
          <w:szCs w:val="18"/>
        </w:rPr>
        <w:footnoteRef/>
      </w:r>
      <w:r w:rsidRPr="003238D3">
        <w:rPr>
          <w:rFonts w:ascii="Times New Roman" w:hAnsi="Times New Roman"/>
          <w:sz w:val="18"/>
          <w:szCs w:val="18"/>
        </w:rPr>
        <w:t xml:space="preserve"> The $20.238 </w:t>
      </w:r>
      <w:proofErr w:type="spellStart"/>
      <w:r w:rsidRPr="003238D3">
        <w:rPr>
          <w:rFonts w:ascii="Times New Roman" w:hAnsi="Times New Roman"/>
          <w:sz w:val="18"/>
          <w:szCs w:val="18"/>
        </w:rPr>
        <w:t>bn</w:t>
      </w:r>
      <w:proofErr w:type="spellEnd"/>
      <w:r w:rsidRPr="003238D3">
        <w:rPr>
          <w:rFonts w:ascii="Times New Roman" w:hAnsi="Times New Roman"/>
          <w:sz w:val="18"/>
          <w:szCs w:val="18"/>
        </w:rPr>
        <w:t xml:space="preserve"> capital </w:t>
      </w:r>
      <w:r>
        <w:rPr>
          <w:rFonts w:ascii="Times New Roman" w:hAnsi="Times New Roman"/>
          <w:sz w:val="18"/>
          <w:szCs w:val="18"/>
        </w:rPr>
        <w:t xml:space="preserve">is </w:t>
      </w:r>
      <w:r w:rsidRPr="003238D3">
        <w:rPr>
          <w:rFonts w:ascii="Times New Roman" w:hAnsi="Times New Roman"/>
          <w:sz w:val="18"/>
          <w:szCs w:val="18"/>
        </w:rPr>
        <w:t xml:space="preserve">released from use of CDS </w:t>
      </w:r>
      <w:r>
        <w:rPr>
          <w:rFonts w:ascii="Times New Roman" w:hAnsi="Times New Roman"/>
          <w:sz w:val="18"/>
          <w:szCs w:val="18"/>
        </w:rPr>
        <w:t>on the assumption that RMBS is structured in</w:t>
      </w:r>
      <w:r w:rsidRPr="003238D3">
        <w:rPr>
          <w:rFonts w:ascii="Times New Roman" w:hAnsi="Times New Roman"/>
          <w:sz w:val="18"/>
          <w:szCs w:val="18"/>
        </w:rPr>
        <w:t xml:space="preserve"> a 40/60 ratio in senior and mezzanine tranches</w:t>
      </w:r>
      <w:r>
        <w:rPr>
          <w:rFonts w:ascii="Times New Roman" w:hAnsi="Times New Roman"/>
          <w:sz w:val="18"/>
          <w:szCs w:val="18"/>
        </w:rPr>
        <w:t>,</w:t>
      </w:r>
      <w:r w:rsidRPr="003238D3">
        <w:rPr>
          <w:rFonts w:ascii="Times New Roman" w:hAnsi="Times New Roman"/>
          <w:sz w:val="18"/>
          <w:szCs w:val="18"/>
        </w:rPr>
        <w:t xml:space="preserve"> resulting in a 240 basis point savings in the first and a 400 basis point savings for the second.   </w:t>
      </w:r>
    </w:p>
  </w:footnote>
  <w:footnote w:id="21">
    <w:p w:rsidR="002A250E" w:rsidRPr="003238D3" w:rsidRDefault="002A250E" w:rsidP="00545E56">
      <w:pPr>
        <w:pStyle w:val="FootnoteText"/>
        <w:rPr>
          <w:rFonts w:ascii="Times New Roman" w:hAnsi="Times New Roman"/>
          <w:sz w:val="18"/>
          <w:szCs w:val="18"/>
        </w:rPr>
      </w:pPr>
      <w:r w:rsidRPr="003238D3">
        <w:rPr>
          <w:rStyle w:val="FootnoteReference"/>
          <w:rFonts w:ascii="Times New Roman" w:hAnsi="Times New Roman"/>
          <w:sz w:val="18"/>
          <w:szCs w:val="18"/>
        </w:rPr>
        <w:footnoteRef/>
      </w:r>
      <w:r w:rsidRPr="003238D3">
        <w:rPr>
          <w:rFonts w:ascii="Times New Roman" w:hAnsi="Times New Roman"/>
          <w:sz w:val="18"/>
          <w:szCs w:val="18"/>
        </w:rPr>
        <w:t xml:space="preserve"> The carry trade profit is calculated for the mezzanine tranche which is 60% of $602.335 viz. $333.90 bn.  The negative basis is on this is -230 basis points</w:t>
      </w:r>
      <w:r>
        <w:rPr>
          <w:rFonts w:ascii="Times New Roman" w:hAnsi="Times New Roman"/>
          <w:sz w:val="18"/>
          <w:szCs w:val="18"/>
        </w:rPr>
        <w:t xml:space="preserve"> (row 10  in Table 2)</w:t>
      </w:r>
      <w:r w:rsidRPr="003238D3">
        <w:rPr>
          <w:rFonts w:ascii="Times New Roman" w:hAnsi="Times New Roman"/>
          <w:sz w:val="18"/>
          <w:szCs w:val="18"/>
        </w:rPr>
        <w:t xml:space="preserve"> which gives $8.31 </w:t>
      </w:r>
      <w:proofErr w:type="spellStart"/>
      <w:r w:rsidRPr="003238D3">
        <w:rPr>
          <w:rFonts w:ascii="Times New Roman" w:hAnsi="Times New Roman"/>
          <w:sz w:val="18"/>
          <w:szCs w:val="18"/>
        </w:rPr>
        <w:t>bn</w:t>
      </w:r>
      <w:proofErr w:type="spellEnd"/>
      <w:r w:rsidRPr="003238D3">
        <w:rPr>
          <w:rFonts w:ascii="Times New Roman" w:hAnsi="Times New Roman"/>
          <w:sz w:val="18"/>
          <w:szCs w:val="18"/>
        </w:rPr>
        <w:t xml:space="preserve"> as profits at the end of 2006 Q2. </w:t>
      </w:r>
    </w:p>
  </w:footnote>
  <w:footnote w:id="22">
    <w:p w:rsidR="002A250E" w:rsidRPr="003238D3" w:rsidRDefault="002A250E">
      <w:pPr>
        <w:pStyle w:val="FootnoteText"/>
        <w:rPr>
          <w:rFonts w:ascii="Times New Roman" w:hAnsi="Times New Roman"/>
          <w:sz w:val="18"/>
          <w:szCs w:val="18"/>
        </w:rPr>
      </w:pPr>
      <w:r w:rsidRPr="003238D3">
        <w:rPr>
          <w:rStyle w:val="FootnoteReference"/>
          <w:rFonts w:ascii="Times New Roman" w:hAnsi="Times New Roman"/>
          <w:sz w:val="18"/>
          <w:szCs w:val="18"/>
        </w:rPr>
        <w:footnoteRef/>
      </w:r>
      <w:r w:rsidRPr="003238D3">
        <w:rPr>
          <w:rFonts w:ascii="Times New Roman" w:hAnsi="Times New Roman"/>
          <w:sz w:val="18"/>
          <w:szCs w:val="18"/>
        </w:rPr>
        <w:t xml:space="preserve"> $94.759bn is the self-financing leverage generated from the $8.31bn profits (see, row </w:t>
      </w:r>
      <w:r>
        <w:rPr>
          <w:rFonts w:ascii="Times New Roman" w:hAnsi="Times New Roman"/>
          <w:sz w:val="18"/>
          <w:szCs w:val="18"/>
        </w:rPr>
        <w:t>6</w:t>
      </w:r>
      <w:r w:rsidRPr="003238D3">
        <w:rPr>
          <w:rFonts w:ascii="Times New Roman" w:hAnsi="Times New Roman"/>
          <w:sz w:val="18"/>
          <w:szCs w:val="18"/>
        </w:rPr>
        <w:t xml:space="preserve"> of Table </w:t>
      </w:r>
      <w:proofErr w:type="gramStart"/>
      <w:r>
        <w:rPr>
          <w:rFonts w:ascii="Times New Roman" w:hAnsi="Times New Roman"/>
          <w:sz w:val="18"/>
          <w:szCs w:val="18"/>
        </w:rPr>
        <w:t>2</w:t>
      </w:r>
      <w:r w:rsidRPr="003238D3">
        <w:rPr>
          <w:rFonts w:ascii="Times New Roman" w:hAnsi="Times New Roman"/>
          <w:sz w:val="18"/>
          <w:szCs w:val="18"/>
        </w:rPr>
        <w:t xml:space="preserve"> )</w:t>
      </w:r>
      <w:proofErr w:type="gramEnd"/>
      <w:r w:rsidRPr="003238D3">
        <w:rPr>
          <w:rFonts w:ascii="Times New Roman" w:hAnsi="Times New Roman"/>
          <w:sz w:val="18"/>
          <w:szCs w:val="18"/>
        </w:rPr>
        <w:t xml:space="preserve"> by dividing it by the cost of leveraging which is 8.91%in 2006 Q2.</w:t>
      </w:r>
    </w:p>
  </w:footnote>
  <w:footnote w:id="23">
    <w:p w:rsidR="002A250E" w:rsidRPr="003238D3" w:rsidRDefault="002A250E">
      <w:pPr>
        <w:pStyle w:val="FootnoteText"/>
        <w:rPr>
          <w:rFonts w:ascii="Times New Roman" w:hAnsi="Times New Roman"/>
          <w:sz w:val="18"/>
          <w:szCs w:val="18"/>
        </w:rPr>
      </w:pPr>
      <w:r w:rsidRPr="003238D3">
        <w:rPr>
          <w:rStyle w:val="FootnoteReference"/>
          <w:rFonts w:ascii="Times New Roman" w:hAnsi="Times New Roman"/>
          <w:sz w:val="18"/>
          <w:szCs w:val="18"/>
        </w:rPr>
        <w:footnoteRef/>
      </w:r>
      <w:r w:rsidRPr="003238D3">
        <w:rPr>
          <w:rFonts w:ascii="Times New Roman" w:hAnsi="Times New Roman"/>
          <w:sz w:val="18"/>
          <w:szCs w:val="18"/>
        </w:rPr>
        <w:t xml:space="preserve"> The figures for Table 2 row</w:t>
      </w:r>
      <w:r>
        <w:rPr>
          <w:rFonts w:ascii="Times New Roman" w:hAnsi="Times New Roman"/>
          <w:sz w:val="18"/>
          <w:szCs w:val="18"/>
        </w:rPr>
        <w:t xml:space="preserve"> </w:t>
      </w:r>
      <w:r w:rsidRPr="003238D3">
        <w:rPr>
          <w:rFonts w:ascii="Times New Roman" w:hAnsi="Times New Roman"/>
          <w:sz w:val="18"/>
          <w:szCs w:val="18"/>
        </w:rPr>
        <w:t>6 is obtained by taking 60% of the leverage</w:t>
      </w:r>
      <w:r>
        <w:rPr>
          <w:rFonts w:ascii="Times New Roman" w:hAnsi="Times New Roman"/>
          <w:sz w:val="18"/>
          <w:szCs w:val="18"/>
        </w:rPr>
        <w:t>d RMBS</w:t>
      </w:r>
      <w:r w:rsidRPr="003238D3">
        <w:rPr>
          <w:rFonts w:ascii="Times New Roman" w:hAnsi="Times New Roman"/>
          <w:sz w:val="18"/>
          <w:szCs w:val="18"/>
        </w:rPr>
        <w:t xml:space="preserve"> items in row 2. </w:t>
      </w:r>
    </w:p>
  </w:footnote>
  <w:footnote w:id="24">
    <w:p w:rsidR="002A250E" w:rsidRPr="00AA27E4" w:rsidRDefault="002A250E" w:rsidP="007C61EA">
      <w:pPr>
        <w:pStyle w:val="FootnoteText"/>
        <w:rPr>
          <w:rFonts w:ascii="Times New Roman" w:hAnsi="Times New Roman"/>
          <w:sz w:val="18"/>
          <w:szCs w:val="18"/>
        </w:rPr>
      </w:pPr>
      <w:r w:rsidRPr="00AA27E4">
        <w:rPr>
          <w:rStyle w:val="FootnoteReference"/>
          <w:rFonts w:ascii="Times New Roman" w:hAnsi="Times New Roman"/>
          <w:sz w:val="18"/>
          <w:szCs w:val="18"/>
        </w:rPr>
        <w:footnoteRef/>
      </w:r>
      <w:r w:rsidRPr="00AA27E4">
        <w:rPr>
          <w:rFonts w:ascii="Times New Roman" w:hAnsi="Times New Roman"/>
          <w:sz w:val="18"/>
          <w:szCs w:val="18"/>
        </w:rPr>
        <w:t xml:space="preserve"> In principle, CDS purchased for CRT by banks </w:t>
      </w:r>
      <w:r>
        <w:rPr>
          <w:rFonts w:ascii="Times New Roman" w:hAnsi="Times New Roman"/>
          <w:sz w:val="18"/>
          <w:szCs w:val="18"/>
        </w:rPr>
        <w:t xml:space="preserve">replicating ABX-HE tranches </w:t>
      </w:r>
      <w:r w:rsidRPr="00AA27E4">
        <w:rPr>
          <w:rFonts w:ascii="Times New Roman" w:hAnsi="Times New Roman"/>
          <w:sz w:val="18"/>
          <w:szCs w:val="18"/>
        </w:rPr>
        <w:t xml:space="preserve">should not be offset bilaterally </w:t>
      </w:r>
      <w:r>
        <w:rPr>
          <w:rFonts w:ascii="Times New Roman" w:hAnsi="Times New Roman"/>
          <w:sz w:val="18"/>
          <w:szCs w:val="18"/>
        </w:rPr>
        <w:t>w</w:t>
      </w:r>
      <w:r w:rsidRPr="00AA27E4">
        <w:rPr>
          <w:rFonts w:ascii="Times New Roman" w:hAnsi="Times New Roman"/>
          <w:sz w:val="18"/>
          <w:szCs w:val="18"/>
        </w:rPr>
        <w:t xml:space="preserve">ith a mirror CDS sale with their </w:t>
      </w:r>
      <w:r>
        <w:rPr>
          <w:rFonts w:ascii="Times New Roman" w:hAnsi="Times New Roman"/>
          <w:sz w:val="18"/>
          <w:szCs w:val="18"/>
        </w:rPr>
        <w:t xml:space="preserve">CDS protection seller and hence the gross notional applies. Stanton and Wallace (2009) Table 1 report the total 2006-07 CDS gross notional on the ABX-HE to be around $146 bn. </w:t>
      </w:r>
    </w:p>
  </w:footnote>
  <w:footnote w:id="25">
    <w:p w:rsidR="002A250E" w:rsidRDefault="002A250E">
      <w:pPr>
        <w:pStyle w:val="FootnoteText"/>
      </w:pPr>
      <w:r w:rsidRPr="00DE0EE5">
        <w:rPr>
          <w:rStyle w:val="FootnoteReference"/>
          <w:rFonts w:ascii="Times New Roman" w:hAnsi="Times New Roman"/>
          <w:sz w:val="18"/>
          <w:szCs w:val="18"/>
        </w:rPr>
        <w:footnoteRef/>
      </w:r>
      <w:r w:rsidRPr="00DE0EE5">
        <w:rPr>
          <w:rFonts w:ascii="Times New Roman" w:hAnsi="Times New Roman"/>
          <w:sz w:val="18"/>
          <w:szCs w:val="18"/>
        </w:rPr>
        <w:t xml:space="preserve"> Markose </w:t>
      </w:r>
      <w:proofErr w:type="gramStart"/>
      <w:r>
        <w:rPr>
          <w:rFonts w:ascii="Times New Roman" w:hAnsi="Times New Roman"/>
          <w:i/>
          <w:sz w:val="18"/>
          <w:szCs w:val="18"/>
        </w:rPr>
        <w:t>et</w:t>
      </w:r>
      <w:proofErr w:type="gramEnd"/>
      <w:r>
        <w:rPr>
          <w:rFonts w:ascii="Times New Roman" w:hAnsi="Times New Roman"/>
          <w:i/>
          <w:sz w:val="18"/>
          <w:szCs w:val="18"/>
        </w:rPr>
        <w:t>. al.</w:t>
      </w:r>
      <w:r>
        <w:rPr>
          <w:rFonts w:ascii="Times New Roman" w:hAnsi="Times New Roman"/>
          <w:sz w:val="18"/>
          <w:szCs w:val="18"/>
        </w:rPr>
        <w:t xml:space="preserve"> (2011) use the same calibration for network connectivity as in Markose </w:t>
      </w:r>
      <w:proofErr w:type="gramStart"/>
      <w:r>
        <w:rPr>
          <w:rFonts w:ascii="Times New Roman" w:hAnsi="Times New Roman"/>
          <w:i/>
          <w:sz w:val="18"/>
          <w:szCs w:val="18"/>
        </w:rPr>
        <w:t>et</w:t>
      </w:r>
      <w:proofErr w:type="gramEnd"/>
      <w:r>
        <w:rPr>
          <w:rFonts w:ascii="Times New Roman" w:hAnsi="Times New Roman"/>
          <w:i/>
          <w:sz w:val="18"/>
          <w:szCs w:val="18"/>
        </w:rPr>
        <w:t xml:space="preserve">. al. </w:t>
      </w:r>
      <w:r>
        <w:rPr>
          <w:rFonts w:ascii="Times New Roman" w:hAnsi="Times New Roman"/>
          <w:sz w:val="18"/>
          <w:szCs w:val="18"/>
        </w:rPr>
        <w:t xml:space="preserve">(2010) based on market shares </w:t>
      </w:r>
      <w:proofErr w:type="gramStart"/>
      <w:r>
        <w:rPr>
          <w:rFonts w:ascii="Times New Roman" w:hAnsi="Times New Roman"/>
          <w:sz w:val="18"/>
          <w:szCs w:val="18"/>
        </w:rPr>
        <w:t>of  CDS</w:t>
      </w:r>
      <w:proofErr w:type="gramEnd"/>
      <w:r>
        <w:rPr>
          <w:rFonts w:ascii="Times New Roman" w:hAnsi="Times New Roman"/>
          <w:sz w:val="18"/>
          <w:szCs w:val="18"/>
        </w:rPr>
        <w:t xml:space="preserve"> gross notional of banks but the bilateral flows between banks are determined by </w:t>
      </w:r>
      <w:r w:rsidRPr="00696890">
        <w:rPr>
          <w:rFonts w:ascii="Times New Roman" w:hAnsi="Times New Roman"/>
          <w:sz w:val="18"/>
          <w:szCs w:val="18"/>
        </w:rPr>
        <w:t>Gross Negative Fair Value for CDS payables and Gross Positive Fair Value for receivables</w:t>
      </w:r>
      <w:r>
        <w:rPr>
          <w:rFonts w:ascii="Times New Roman" w:hAnsi="Times New Roman"/>
          <w:sz w:val="18"/>
          <w:szCs w:val="18"/>
        </w:rPr>
        <w:t xml:space="preserve"> </w:t>
      </w:r>
      <w:r w:rsidRPr="00696890">
        <w:rPr>
          <w:rFonts w:ascii="Times New Roman" w:hAnsi="Times New Roman"/>
          <w:sz w:val="18"/>
          <w:szCs w:val="18"/>
        </w:rPr>
        <w:t xml:space="preserve">given in FDIC Call Reports for each of these banks. </w:t>
      </w:r>
    </w:p>
  </w:footnote>
  <w:footnote w:id="26">
    <w:p w:rsidR="002A250E" w:rsidRPr="00FB5757" w:rsidRDefault="002A250E">
      <w:pPr>
        <w:pStyle w:val="FootnoteText"/>
        <w:rPr>
          <w:rFonts w:ascii="Times New Roman" w:hAnsi="Times New Roman"/>
          <w:sz w:val="16"/>
          <w:szCs w:val="16"/>
        </w:rPr>
      </w:pPr>
      <w:r w:rsidRPr="00FB5757">
        <w:rPr>
          <w:rStyle w:val="FootnoteReference"/>
          <w:rFonts w:ascii="Times New Roman" w:hAnsi="Times New Roman"/>
          <w:sz w:val="16"/>
          <w:szCs w:val="16"/>
        </w:rPr>
        <w:footnoteRef/>
      </w:r>
      <w:r w:rsidRPr="00FB5757">
        <w:rPr>
          <w:rFonts w:ascii="Times New Roman" w:hAnsi="Times New Roman"/>
          <w:sz w:val="16"/>
          <w:szCs w:val="16"/>
        </w:rPr>
        <w:t xml:space="preserve"> We found empirical the clustering coefficient to be around 92% and the connectivity (</w:t>
      </w:r>
      <w:proofErr w:type="spellStart"/>
      <w:r w:rsidRPr="00FB5757">
        <w:rPr>
          <w:rFonts w:ascii="Times New Roman" w:hAnsi="Times New Roman"/>
          <w:sz w:val="16"/>
          <w:szCs w:val="16"/>
        </w:rPr>
        <w:t>ie</w:t>
      </w:r>
      <w:proofErr w:type="spellEnd"/>
      <w:r w:rsidRPr="00FB5757">
        <w:rPr>
          <w:rFonts w:ascii="Times New Roman" w:hAnsi="Times New Roman"/>
          <w:sz w:val="16"/>
          <w:szCs w:val="16"/>
        </w:rPr>
        <w:t xml:space="preserve">. probability of any two banks being connected to be 12%.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250E" w:rsidRDefault="002A250E">
    <w:pPr>
      <w:pStyle w:val="Header"/>
      <w:jc w:val="right"/>
    </w:pPr>
    <w:fldSimple w:instr=" PAGE   \* MERGEFORMAT ">
      <w:r w:rsidR="005E08D7">
        <w:rPr>
          <w:noProof/>
        </w:rPr>
        <w:t>32</w:t>
      </w:r>
    </w:fldSimple>
  </w:p>
  <w:p w:rsidR="002A250E" w:rsidRDefault="002A250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F771A"/>
    <w:multiLevelType w:val="multilevel"/>
    <w:tmpl w:val="F9141972"/>
    <w:lvl w:ilvl="0">
      <w:start w:val="3"/>
      <w:numFmt w:val="decimal"/>
      <w:lvlText w:val="%1"/>
      <w:lvlJc w:val="left"/>
      <w:pPr>
        <w:ind w:left="405" w:hanging="405"/>
      </w:pPr>
      <w:rPr>
        <w:rFonts w:hint="default"/>
      </w:rPr>
    </w:lvl>
    <w:lvl w:ilvl="1">
      <w:start w:val="1"/>
      <w:numFmt w:val="decimal"/>
      <w:lvlText w:val="%1.%2"/>
      <w:lvlJc w:val="left"/>
      <w:pPr>
        <w:ind w:left="1200" w:hanging="72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360" w:hanging="144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680" w:hanging="180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6000" w:hanging="2160"/>
      </w:pPr>
      <w:rPr>
        <w:rFonts w:hint="default"/>
      </w:rPr>
    </w:lvl>
  </w:abstractNum>
  <w:abstractNum w:abstractNumId="1">
    <w:nsid w:val="00B847A3"/>
    <w:multiLevelType w:val="hybridMultilevel"/>
    <w:tmpl w:val="BBF2C7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78B00AA"/>
    <w:multiLevelType w:val="multilevel"/>
    <w:tmpl w:val="8512A044"/>
    <w:lvl w:ilvl="0">
      <w:start w:val="1"/>
      <w:numFmt w:val="decimal"/>
      <w:pStyle w:val="CF902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2147"/>
        </w:tabs>
        <w:ind w:left="2147"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
    <w:nsid w:val="0B712B93"/>
    <w:multiLevelType w:val="hybridMultilevel"/>
    <w:tmpl w:val="A90A9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B81002A"/>
    <w:multiLevelType w:val="hybridMultilevel"/>
    <w:tmpl w:val="4E2698FE"/>
    <w:lvl w:ilvl="0" w:tplc="B196422C">
      <w:start w:val="1"/>
      <w:numFmt w:val="bullet"/>
      <w:lvlText w:val="&gt;"/>
      <w:lvlJc w:val="left"/>
      <w:pPr>
        <w:tabs>
          <w:tab w:val="num" w:pos="720"/>
        </w:tabs>
        <w:ind w:left="720" w:hanging="360"/>
      </w:pPr>
      <w:rPr>
        <w:rFonts w:ascii="Arial" w:hAnsi="Arial" w:hint="default"/>
      </w:rPr>
    </w:lvl>
    <w:lvl w:ilvl="1" w:tplc="E38E814E">
      <w:start w:val="1130"/>
      <w:numFmt w:val="bullet"/>
      <w:lvlText w:val="–"/>
      <w:lvlJc w:val="left"/>
      <w:pPr>
        <w:tabs>
          <w:tab w:val="num" w:pos="1440"/>
        </w:tabs>
        <w:ind w:left="1440" w:hanging="360"/>
      </w:pPr>
      <w:rPr>
        <w:rFonts w:ascii="Arial" w:hAnsi="Arial" w:hint="default"/>
      </w:rPr>
    </w:lvl>
    <w:lvl w:ilvl="2" w:tplc="F176F932" w:tentative="1">
      <w:start w:val="1"/>
      <w:numFmt w:val="bullet"/>
      <w:lvlText w:val="&gt;"/>
      <w:lvlJc w:val="left"/>
      <w:pPr>
        <w:tabs>
          <w:tab w:val="num" w:pos="2160"/>
        </w:tabs>
        <w:ind w:left="2160" w:hanging="360"/>
      </w:pPr>
      <w:rPr>
        <w:rFonts w:ascii="Arial" w:hAnsi="Arial" w:hint="default"/>
      </w:rPr>
    </w:lvl>
    <w:lvl w:ilvl="3" w:tplc="87CE882C" w:tentative="1">
      <w:start w:val="1"/>
      <w:numFmt w:val="bullet"/>
      <w:lvlText w:val="&gt;"/>
      <w:lvlJc w:val="left"/>
      <w:pPr>
        <w:tabs>
          <w:tab w:val="num" w:pos="2880"/>
        </w:tabs>
        <w:ind w:left="2880" w:hanging="360"/>
      </w:pPr>
      <w:rPr>
        <w:rFonts w:ascii="Arial" w:hAnsi="Arial" w:hint="default"/>
      </w:rPr>
    </w:lvl>
    <w:lvl w:ilvl="4" w:tplc="82B85BE4" w:tentative="1">
      <w:start w:val="1"/>
      <w:numFmt w:val="bullet"/>
      <w:lvlText w:val="&gt;"/>
      <w:lvlJc w:val="left"/>
      <w:pPr>
        <w:tabs>
          <w:tab w:val="num" w:pos="3600"/>
        </w:tabs>
        <w:ind w:left="3600" w:hanging="360"/>
      </w:pPr>
      <w:rPr>
        <w:rFonts w:ascii="Arial" w:hAnsi="Arial" w:hint="default"/>
      </w:rPr>
    </w:lvl>
    <w:lvl w:ilvl="5" w:tplc="925E86B0" w:tentative="1">
      <w:start w:val="1"/>
      <w:numFmt w:val="bullet"/>
      <w:lvlText w:val="&gt;"/>
      <w:lvlJc w:val="left"/>
      <w:pPr>
        <w:tabs>
          <w:tab w:val="num" w:pos="4320"/>
        </w:tabs>
        <w:ind w:left="4320" w:hanging="360"/>
      </w:pPr>
      <w:rPr>
        <w:rFonts w:ascii="Arial" w:hAnsi="Arial" w:hint="default"/>
      </w:rPr>
    </w:lvl>
    <w:lvl w:ilvl="6" w:tplc="A0EC1B96" w:tentative="1">
      <w:start w:val="1"/>
      <w:numFmt w:val="bullet"/>
      <w:lvlText w:val="&gt;"/>
      <w:lvlJc w:val="left"/>
      <w:pPr>
        <w:tabs>
          <w:tab w:val="num" w:pos="5040"/>
        </w:tabs>
        <w:ind w:left="5040" w:hanging="360"/>
      </w:pPr>
      <w:rPr>
        <w:rFonts w:ascii="Arial" w:hAnsi="Arial" w:hint="default"/>
      </w:rPr>
    </w:lvl>
    <w:lvl w:ilvl="7" w:tplc="A9720CD8" w:tentative="1">
      <w:start w:val="1"/>
      <w:numFmt w:val="bullet"/>
      <w:lvlText w:val="&gt;"/>
      <w:lvlJc w:val="left"/>
      <w:pPr>
        <w:tabs>
          <w:tab w:val="num" w:pos="5760"/>
        </w:tabs>
        <w:ind w:left="5760" w:hanging="360"/>
      </w:pPr>
      <w:rPr>
        <w:rFonts w:ascii="Arial" w:hAnsi="Arial" w:hint="default"/>
      </w:rPr>
    </w:lvl>
    <w:lvl w:ilvl="8" w:tplc="2A685A88" w:tentative="1">
      <w:start w:val="1"/>
      <w:numFmt w:val="bullet"/>
      <w:lvlText w:val="&gt;"/>
      <w:lvlJc w:val="left"/>
      <w:pPr>
        <w:tabs>
          <w:tab w:val="num" w:pos="6480"/>
        </w:tabs>
        <w:ind w:left="6480" w:hanging="360"/>
      </w:pPr>
      <w:rPr>
        <w:rFonts w:ascii="Arial" w:hAnsi="Arial" w:hint="default"/>
      </w:rPr>
    </w:lvl>
  </w:abstractNum>
  <w:abstractNum w:abstractNumId="5">
    <w:nsid w:val="0C7E7FDF"/>
    <w:multiLevelType w:val="hybridMultilevel"/>
    <w:tmpl w:val="D4A09DE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4AF3DBB"/>
    <w:multiLevelType w:val="hybridMultilevel"/>
    <w:tmpl w:val="CDE67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5261756"/>
    <w:multiLevelType w:val="hybridMultilevel"/>
    <w:tmpl w:val="5A5866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BC62B3D"/>
    <w:multiLevelType w:val="hybridMultilevel"/>
    <w:tmpl w:val="0290B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D9D379B"/>
    <w:multiLevelType w:val="hybridMultilevel"/>
    <w:tmpl w:val="D6FAD0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8E5220C"/>
    <w:multiLevelType w:val="hybridMultilevel"/>
    <w:tmpl w:val="D10C7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ADB4130"/>
    <w:multiLevelType w:val="hybridMultilevel"/>
    <w:tmpl w:val="D1F8CD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69937B3"/>
    <w:multiLevelType w:val="hybridMultilevel"/>
    <w:tmpl w:val="F6F82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C9B3A17"/>
    <w:multiLevelType w:val="hybridMultilevel"/>
    <w:tmpl w:val="6C08E3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D9F323E"/>
    <w:multiLevelType w:val="hybridMultilevel"/>
    <w:tmpl w:val="75F490A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nsid w:val="45A64013"/>
    <w:multiLevelType w:val="hybridMultilevel"/>
    <w:tmpl w:val="45FC4E38"/>
    <w:lvl w:ilvl="0" w:tplc="6A4A149E">
      <w:start w:val="1"/>
      <w:numFmt w:val="decimal"/>
      <w:lvlText w:val="%1."/>
      <w:lvlJc w:val="left"/>
      <w:pPr>
        <w:ind w:left="840" w:hanging="360"/>
      </w:pPr>
      <w:rPr>
        <w:rFonts w:hint="default"/>
      </w:rPr>
    </w:lvl>
    <w:lvl w:ilvl="1" w:tplc="08090019" w:tentative="1">
      <w:start w:val="1"/>
      <w:numFmt w:val="lowerLetter"/>
      <w:lvlText w:val="%2."/>
      <w:lvlJc w:val="left"/>
      <w:pPr>
        <w:ind w:left="1560" w:hanging="360"/>
      </w:pPr>
    </w:lvl>
    <w:lvl w:ilvl="2" w:tplc="0809001B" w:tentative="1">
      <w:start w:val="1"/>
      <w:numFmt w:val="lowerRoman"/>
      <w:lvlText w:val="%3."/>
      <w:lvlJc w:val="right"/>
      <w:pPr>
        <w:ind w:left="2280" w:hanging="180"/>
      </w:pPr>
    </w:lvl>
    <w:lvl w:ilvl="3" w:tplc="0809000F" w:tentative="1">
      <w:start w:val="1"/>
      <w:numFmt w:val="decimal"/>
      <w:lvlText w:val="%4."/>
      <w:lvlJc w:val="left"/>
      <w:pPr>
        <w:ind w:left="3000" w:hanging="360"/>
      </w:pPr>
    </w:lvl>
    <w:lvl w:ilvl="4" w:tplc="08090019" w:tentative="1">
      <w:start w:val="1"/>
      <w:numFmt w:val="lowerLetter"/>
      <w:lvlText w:val="%5."/>
      <w:lvlJc w:val="left"/>
      <w:pPr>
        <w:ind w:left="3720" w:hanging="360"/>
      </w:pPr>
    </w:lvl>
    <w:lvl w:ilvl="5" w:tplc="0809001B" w:tentative="1">
      <w:start w:val="1"/>
      <w:numFmt w:val="lowerRoman"/>
      <w:lvlText w:val="%6."/>
      <w:lvlJc w:val="right"/>
      <w:pPr>
        <w:ind w:left="4440" w:hanging="180"/>
      </w:pPr>
    </w:lvl>
    <w:lvl w:ilvl="6" w:tplc="0809000F" w:tentative="1">
      <w:start w:val="1"/>
      <w:numFmt w:val="decimal"/>
      <w:lvlText w:val="%7."/>
      <w:lvlJc w:val="left"/>
      <w:pPr>
        <w:ind w:left="5160" w:hanging="360"/>
      </w:pPr>
    </w:lvl>
    <w:lvl w:ilvl="7" w:tplc="08090019" w:tentative="1">
      <w:start w:val="1"/>
      <w:numFmt w:val="lowerLetter"/>
      <w:lvlText w:val="%8."/>
      <w:lvlJc w:val="left"/>
      <w:pPr>
        <w:ind w:left="5880" w:hanging="360"/>
      </w:pPr>
    </w:lvl>
    <w:lvl w:ilvl="8" w:tplc="0809001B" w:tentative="1">
      <w:start w:val="1"/>
      <w:numFmt w:val="lowerRoman"/>
      <w:lvlText w:val="%9."/>
      <w:lvlJc w:val="right"/>
      <w:pPr>
        <w:ind w:left="6600" w:hanging="180"/>
      </w:pPr>
    </w:lvl>
  </w:abstractNum>
  <w:abstractNum w:abstractNumId="16">
    <w:nsid w:val="469460AD"/>
    <w:multiLevelType w:val="multilevel"/>
    <w:tmpl w:val="44BE968C"/>
    <w:lvl w:ilvl="0">
      <w:start w:val="1"/>
      <w:numFmt w:val="decimal"/>
      <w:lvlText w:val="%1."/>
      <w:lvlJc w:val="left"/>
      <w:pPr>
        <w:ind w:left="1440" w:hanging="360"/>
      </w:pPr>
      <w:rPr>
        <w:rFonts w:hint="default"/>
      </w:rPr>
    </w:lvl>
    <w:lvl w:ilvl="1">
      <w:start w:val="1"/>
      <w:numFmt w:val="bullet"/>
      <w:lvlText w:val=""/>
      <w:lvlJc w:val="left"/>
      <w:pPr>
        <w:ind w:left="180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
      <w:lvlJc w:val="left"/>
      <w:pPr>
        <w:ind w:left="2880" w:hanging="360"/>
      </w:pPr>
      <w:rPr>
        <w:rFonts w:ascii="Symbol" w:hAnsi="Symbol"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600" w:hanging="360"/>
      </w:pPr>
      <w:rPr>
        <w:rFonts w:ascii="Wingdings" w:hAnsi="Wingdings" w:hint="default"/>
      </w:rPr>
    </w:lvl>
    <w:lvl w:ilvl="7">
      <w:start w:val="1"/>
      <w:numFmt w:val="bullet"/>
      <w:lvlText w:val=""/>
      <w:lvlJc w:val="left"/>
      <w:pPr>
        <w:ind w:left="3960" w:hanging="360"/>
      </w:pPr>
      <w:rPr>
        <w:rFonts w:ascii="Symbol" w:hAnsi="Symbol" w:hint="default"/>
      </w:rPr>
    </w:lvl>
    <w:lvl w:ilvl="8">
      <w:start w:val="1"/>
      <w:numFmt w:val="bullet"/>
      <w:lvlText w:val=""/>
      <w:lvlJc w:val="left"/>
      <w:pPr>
        <w:ind w:left="4320" w:hanging="360"/>
      </w:pPr>
      <w:rPr>
        <w:rFonts w:ascii="Symbol" w:hAnsi="Symbol" w:hint="default"/>
      </w:rPr>
    </w:lvl>
  </w:abstractNum>
  <w:abstractNum w:abstractNumId="17">
    <w:nsid w:val="499B0078"/>
    <w:multiLevelType w:val="hybridMultilevel"/>
    <w:tmpl w:val="6AB87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D8A774B"/>
    <w:multiLevelType w:val="hybridMultilevel"/>
    <w:tmpl w:val="22047F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F0774D6"/>
    <w:multiLevelType w:val="hybridMultilevel"/>
    <w:tmpl w:val="FAF2A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3285B05"/>
    <w:multiLevelType w:val="multilevel"/>
    <w:tmpl w:val="3D64A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D345CE1"/>
    <w:multiLevelType w:val="hybridMultilevel"/>
    <w:tmpl w:val="98FEE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60E69EF"/>
    <w:multiLevelType w:val="hybridMultilevel"/>
    <w:tmpl w:val="45FC4E38"/>
    <w:lvl w:ilvl="0" w:tplc="6A4A149E">
      <w:start w:val="1"/>
      <w:numFmt w:val="decimal"/>
      <w:lvlText w:val="%1."/>
      <w:lvlJc w:val="left"/>
      <w:pPr>
        <w:ind w:left="840" w:hanging="360"/>
      </w:pPr>
      <w:rPr>
        <w:rFonts w:hint="default"/>
      </w:rPr>
    </w:lvl>
    <w:lvl w:ilvl="1" w:tplc="08090019" w:tentative="1">
      <w:start w:val="1"/>
      <w:numFmt w:val="lowerLetter"/>
      <w:lvlText w:val="%2."/>
      <w:lvlJc w:val="left"/>
      <w:pPr>
        <w:ind w:left="1560" w:hanging="360"/>
      </w:pPr>
    </w:lvl>
    <w:lvl w:ilvl="2" w:tplc="0809001B" w:tentative="1">
      <w:start w:val="1"/>
      <w:numFmt w:val="lowerRoman"/>
      <w:lvlText w:val="%3."/>
      <w:lvlJc w:val="right"/>
      <w:pPr>
        <w:ind w:left="2280" w:hanging="180"/>
      </w:pPr>
    </w:lvl>
    <w:lvl w:ilvl="3" w:tplc="0809000F" w:tentative="1">
      <w:start w:val="1"/>
      <w:numFmt w:val="decimal"/>
      <w:lvlText w:val="%4."/>
      <w:lvlJc w:val="left"/>
      <w:pPr>
        <w:ind w:left="3000" w:hanging="360"/>
      </w:pPr>
    </w:lvl>
    <w:lvl w:ilvl="4" w:tplc="08090019" w:tentative="1">
      <w:start w:val="1"/>
      <w:numFmt w:val="lowerLetter"/>
      <w:lvlText w:val="%5."/>
      <w:lvlJc w:val="left"/>
      <w:pPr>
        <w:ind w:left="3720" w:hanging="360"/>
      </w:pPr>
    </w:lvl>
    <w:lvl w:ilvl="5" w:tplc="0809001B" w:tentative="1">
      <w:start w:val="1"/>
      <w:numFmt w:val="lowerRoman"/>
      <w:lvlText w:val="%6."/>
      <w:lvlJc w:val="right"/>
      <w:pPr>
        <w:ind w:left="4440" w:hanging="180"/>
      </w:pPr>
    </w:lvl>
    <w:lvl w:ilvl="6" w:tplc="0809000F" w:tentative="1">
      <w:start w:val="1"/>
      <w:numFmt w:val="decimal"/>
      <w:lvlText w:val="%7."/>
      <w:lvlJc w:val="left"/>
      <w:pPr>
        <w:ind w:left="5160" w:hanging="360"/>
      </w:pPr>
    </w:lvl>
    <w:lvl w:ilvl="7" w:tplc="08090019" w:tentative="1">
      <w:start w:val="1"/>
      <w:numFmt w:val="lowerLetter"/>
      <w:lvlText w:val="%8."/>
      <w:lvlJc w:val="left"/>
      <w:pPr>
        <w:ind w:left="5880" w:hanging="360"/>
      </w:pPr>
    </w:lvl>
    <w:lvl w:ilvl="8" w:tplc="0809001B" w:tentative="1">
      <w:start w:val="1"/>
      <w:numFmt w:val="lowerRoman"/>
      <w:lvlText w:val="%9."/>
      <w:lvlJc w:val="right"/>
      <w:pPr>
        <w:ind w:left="6600" w:hanging="180"/>
      </w:pPr>
    </w:lvl>
  </w:abstractNum>
  <w:abstractNum w:abstractNumId="23">
    <w:nsid w:val="6B881D3F"/>
    <w:multiLevelType w:val="multilevel"/>
    <w:tmpl w:val="44BE968C"/>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nsid w:val="6CD90A20"/>
    <w:multiLevelType w:val="hybridMultilevel"/>
    <w:tmpl w:val="C53E74CE"/>
    <w:lvl w:ilvl="0" w:tplc="2E7E16D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7A534B0"/>
    <w:multiLevelType w:val="multilevel"/>
    <w:tmpl w:val="043E0A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7CC25B1"/>
    <w:multiLevelType w:val="multilevel"/>
    <w:tmpl w:val="08090021"/>
    <w:lvl w:ilvl="0">
      <w:start w:val="1"/>
      <w:numFmt w:val="bullet"/>
      <w:lvlText w:val=""/>
      <w:lvlJc w:val="left"/>
      <w:pPr>
        <w:ind w:left="108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
      <w:lvlJc w:val="left"/>
      <w:pPr>
        <w:ind w:left="2520" w:hanging="360"/>
      </w:pPr>
      <w:rPr>
        <w:rFonts w:ascii="Symbol" w:hAnsi="Symbol" w:hint="default"/>
      </w:rPr>
    </w:lvl>
    <w:lvl w:ilvl="5">
      <w:start w:val="1"/>
      <w:numFmt w:val="bullet"/>
      <w:lvlText w:val=""/>
      <w:lvlJc w:val="left"/>
      <w:pPr>
        <w:ind w:left="2880" w:hanging="360"/>
      </w:pPr>
      <w:rPr>
        <w:rFonts w:ascii="Wingdings" w:hAnsi="Wingdings" w:hint="default"/>
      </w:rPr>
    </w:lvl>
    <w:lvl w:ilvl="6">
      <w:start w:val="1"/>
      <w:numFmt w:val="bullet"/>
      <w:lvlText w:val=""/>
      <w:lvlJc w:val="left"/>
      <w:pPr>
        <w:ind w:left="3240" w:hanging="360"/>
      </w:pPr>
      <w:rPr>
        <w:rFonts w:ascii="Wingdings" w:hAnsi="Wingdings" w:hint="default"/>
      </w:rPr>
    </w:lvl>
    <w:lvl w:ilvl="7">
      <w:start w:val="1"/>
      <w:numFmt w:val="bullet"/>
      <w:lvlText w:val=""/>
      <w:lvlJc w:val="left"/>
      <w:pPr>
        <w:ind w:left="3600" w:hanging="360"/>
      </w:pPr>
      <w:rPr>
        <w:rFonts w:ascii="Symbol" w:hAnsi="Symbol" w:hint="default"/>
      </w:rPr>
    </w:lvl>
    <w:lvl w:ilvl="8">
      <w:start w:val="1"/>
      <w:numFmt w:val="bullet"/>
      <w:lvlText w:val=""/>
      <w:lvlJc w:val="left"/>
      <w:pPr>
        <w:ind w:left="3960" w:hanging="360"/>
      </w:pPr>
      <w:rPr>
        <w:rFonts w:ascii="Symbol" w:hAnsi="Symbol" w:hint="default"/>
      </w:rPr>
    </w:lvl>
  </w:abstractNum>
  <w:num w:numId="1">
    <w:abstractNumId w:val="2"/>
  </w:num>
  <w:num w:numId="2">
    <w:abstractNumId w:val="3"/>
  </w:num>
  <w:num w:numId="3">
    <w:abstractNumId w:val="14"/>
  </w:num>
  <w:num w:numId="4">
    <w:abstractNumId w:val="26"/>
  </w:num>
  <w:num w:numId="5">
    <w:abstractNumId w:val="23"/>
  </w:num>
  <w:num w:numId="6">
    <w:abstractNumId w:val="16"/>
  </w:num>
  <w:num w:numId="7">
    <w:abstractNumId w:val="6"/>
  </w:num>
  <w:num w:numId="8">
    <w:abstractNumId w:val="19"/>
  </w:num>
  <w:num w:numId="9">
    <w:abstractNumId w:val="5"/>
  </w:num>
  <w:num w:numId="10">
    <w:abstractNumId w:val="9"/>
  </w:num>
  <w:num w:numId="11">
    <w:abstractNumId w:val="0"/>
  </w:num>
  <w:num w:numId="12">
    <w:abstractNumId w:val="21"/>
  </w:num>
  <w:num w:numId="13">
    <w:abstractNumId w:val="13"/>
  </w:num>
  <w:num w:numId="14">
    <w:abstractNumId w:val="12"/>
  </w:num>
  <w:num w:numId="15">
    <w:abstractNumId w:val="17"/>
  </w:num>
  <w:num w:numId="16">
    <w:abstractNumId w:val="10"/>
  </w:num>
  <w:num w:numId="17">
    <w:abstractNumId w:val="22"/>
  </w:num>
  <w:num w:numId="18">
    <w:abstractNumId w:val="4"/>
  </w:num>
  <w:num w:numId="19">
    <w:abstractNumId w:val="20"/>
  </w:num>
  <w:num w:numId="20">
    <w:abstractNumId w:val="8"/>
  </w:num>
  <w:num w:numId="21">
    <w:abstractNumId w:val="25"/>
  </w:num>
  <w:num w:numId="22">
    <w:abstractNumId w:val="7"/>
  </w:num>
  <w:num w:numId="23">
    <w:abstractNumId w:val="15"/>
  </w:num>
  <w:num w:numId="24">
    <w:abstractNumId w:val="24"/>
  </w:num>
  <w:num w:numId="25">
    <w:abstractNumId w:val="18"/>
  </w:num>
  <w:num w:numId="26">
    <w:abstractNumId w:val="1"/>
  </w:num>
  <w:num w:numId="27">
    <w:abstractNumId w:val="11"/>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4F794A"/>
    <w:rsid w:val="0000057C"/>
    <w:rsid w:val="00000A46"/>
    <w:rsid w:val="00001BD1"/>
    <w:rsid w:val="00001C19"/>
    <w:rsid w:val="00002257"/>
    <w:rsid w:val="000027AB"/>
    <w:rsid w:val="00002B5E"/>
    <w:rsid w:val="00006813"/>
    <w:rsid w:val="0000695C"/>
    <w:rsid w:val="0000739B"/>
    <w:rsid w:val="000124D5"/>
    <w:rsid w:val="00012C06"/>
    <w:rsid w:val="000137F0"/>
    <w:rsid w:val="0001469D"/>
    <w:rsid w:val="00014ABD"/>
    <w:rsid w:val="00014FDD"/>
    <w:rsid w:val="00016700"/>
    <w:rsid w:val="0001761A"/>
    <w:rsid w:val="0001769B"/>
    <w:rsid w:val="00017C99"/>
    <w:rsid w:val="00017F14"/>
    <w:rsid w:val="00020376"/>
    <w:rsid w:val="000217BA"/>
    <w:rsid w:val="00022749"/>
    <w:rsid w:val="00022A1A"/>
    <w:rsid w:val="0002352B"/>
    <w:rsid w:val="00023535"/>
    <w:rsid w:val="0002396D"/>
    <w:rsid w:val="00023C82"/>
    <w:rsid w:val="00024A0B"/>
    <w:rsid w:val="00024D72"/>
    <w:rsid w:val="0002556F"/>
    <w:rsid w:val="00027447"/>
    <w:rsid w:val="0003012C"/>
    <w:rsid w:val="00031344"/>
    <w:rsid w:val="00031ABE"/>
    <w:rsid w:val="00033201"/>
    <w:rsid w:val="00034CF7"/>
    <w:rsid w:val="0003553B"/>
    <w:rsid w:val="00036229"/>
    <w:rsid w:val="0003633F"/>
    <w:rsid w:val="000401BD"/>
    <w:rsid w:val="00040529"/>
    <w:rsid w:val="00041472"/>
    <w:rsid w:val="00042BAB"/>
    <w:rsid w:val="00042C78"/>
    <w:rsid w:val="00046049"/>
    <w:rsid w:val="0004664A"/>
    <w:rsid w:val="0005028D"/>
    <w:rsid w:val="0005051B"/>
    <w:rsid w:val="00050655"/>
    <w:rsid w:val="00050D89"/>
    <w:rsid w:val="00050DEA"/>
    <w:rsid w:val="00051457"/>
    <w:rsid w:val="00052662"/>
    <w:rsid w:val="00052663"/>
    <w:rsid w:val="00056DA4"/>
    <w:rsid w:val="000608C4"/>
    <w:rsid w:val="00061643"/>
    <w:rsid w:val="000616C4"/>
    <w:rsid w:val="000618AD"/>
    <w:rsid w:val="00061AB1"/>
    <w:rsid w:val="00061E75"/>
    <w:rsid w:val="00062058"/>
    <w:rsid w:val="00062206"/>
    <w:rsid w:val="00063636"/>
    <w:rsid w:val="00063759"/>
    <w:rsid w:val="000640DA"/>
    <w:rsid w:val="00064424"/>
    <w:rsid w:val="00064B66"/>
    <w:rsid w:val="00064F6E"/>
    <w:rsid w:val="00065396"/>
    <w:rsid w:val="000655A3"/>
    <w:rsid w:val="000658EA"/>
    <w:rsid w:val="00065D10"/>
    <w:rsid w:val="00065E4F"/>
    <w:rsid w:val="0006682C"/>
    <w:rsid w:val="000672E8"/>
    <w:rsid w:val="00067C94"/>
    <w:rsid w:val="00067E43"/>
    <w:rsid w:val="00070B5C"/>
    <w:rsid w:val="00071216"/>
    <w:rsid w:val="0007271A"/>
    <w:rsid w:val="00072904"/>
    <w:rsid w:val="00072CD2"/>
    <w:rsid w:val="000734DA"/>
    <w:rsid w:val="000763FB"/>
    <w:rsid w:val="00077C2A"/>
    <w:rsid w:val="00080373"/>
    <w:rsid w:val="00080BFE"/>
    <w:rsid w:val="00080CFD"/>
    <w:rsid w:val="000812FC"/>
    <w:rsid w:val="00082CFD"/>
    <w:rsid w:val="000832C4"/>
    <w:rsid w:val="000846FF"/>
    <w:rsid w:val="000858D4"/>
    <w:rsid w:val="00087CF3"/>
    <w:rsid w:val="00087DB1"/>
    <w:rsid w:val="0009034D"/>
    <w:rsid w:val="00090D7E"/>
    <w:rsid w:val="000922D1"/>
    <w:rsid w:val="000926B4"/>
    <w:rsid w:val="000930EA"/>
    <w:rsid w:val="00093762"/>
    <w:rsid w:val="00094DA9"/>
    <w:rsid w:val="00096160"/>
    <w:rsid w:val="00096993"/>
    <w:rsid w:val="00096F39"/>
    <w:rsid w:val="00097642"/>
    <w:rsid w:val="000A46AF"/>
    <w:rsid w:val="000A5527"/>
    <w:rsid w:val="000A64C7"/>
    <w:rsid w:val="000A6703"/>
    <w:rsid w:val="000A6857"/>
    <w:rsid w:val="000B14BE"/>
    <w:rsid w:val="000B2C04"/>
    <w:rsid w:val="000B5C96"/>
    <w:rsid w:val="000B675B"/>
    <w:rsid w:val="000B6F1E"/>
    <w:rsid w:val="000B797F"/>
    <w:rsid w:val="000B7BD1"/>
    <w:rsid w:val="000C02F8"/>
    <w:rsid w:val="000C1A57"/>
    <w:rsid w:val="000C1EDB"/>
    <w:rsid w:val="000C22C5"/>
    <w:rsid w:val="000C26F9"/>
    <w:rsid w:val="000C4215"/>
    <w:rsid w:val="000C53B0"/>
    <w:rsid w:val="000C6A99"/>
    <w:rsid w:val="000C74D5"/>
    <w:rsid w:val="000C78F8"/>
    <w:rsid w:val="000D1182"/>
    <w:rsid w:val="000D19FB"/>
    <w:rsid w:val="000D1A4C"/>
    <w:rsid w:val="000D36D8"/>
    <w:rsid w:val="000D3B6E"/>
    <w:rsid w:val="000D3DBF"/>
    <w:rsid w:val="000D425A"/>
    <w:rsid w:val="000D4A5B"/>
    <w:rsid w:val="000D645F"/>
    <w:rsid w:val="000D6983"/>
    <w:rsid w:val="000E13A9"/>
    <w:rsid w:val="000E15BA"/>
    <w:rsid w:val="000E1AE4"/>
    <w:rsid w:val="000E1B58"/>
    <w:rsid w:val="000E1C13"/>
    <w:rsid w:val="000E2B49"/>
    <w:rsid w:val="000E386F"/>
    <w:rsid w:val="000E4BC2"/>
    <w:rsid w:val="000E6E4E"/>
    <w:rsid w:val="000F2866"/>
    <w:rsid w:val="000F3183"/>
    <w:rsid w:val="000F3296"/>
    <w:rsid w:val="000F3CC5"/>
    <w:rsid w:val="000F52BC"/>
    <w:rsid w:val="000F5680"/>
    <w:rsid w:val="000F64B9"/>
    <w:rsid w:val="000F66F2"/>
    <w:rsid w:val="000F7FF3"/>
    <w:rsid w:val="001002E3"/>
    <w:rsid w:val="00100AFD"/>
    <w:rsid w:val="00103794"/>
    <w:rsid w:val="00103E29"/>
    <w:rsid w:val="0010483A"/>
    <w:rsid w:val="00104842"/>
    <w:rsid w:val="001049EC"/>
    <w:rsid w:val="0010522B"/>
    <w:rsid w:val="00106CDF"/>
    <w:rsid w:val="00106EB7"/>
    <w:rsid w:val="001075CC"/>
    <w:rsid w:val="00107D0B"/>
    <w:rsid w:val="00111FCA"/>
    <w:rsid w:val="00114BEE"/>
    <w:rsid w:val="001156FE"/>
    <w:rsid w:val="00115754"/>
    <w:rsid w:val="00115E53"/>
    <w:rsid w:val="00115F3A"/>
    <w:rsid w:val="0011693F"/>
    <w:rsid w:val="00117A00"/>
    <w:rsid w:val="001201F6"/>
    <w:rsid w:val="00120EB4"/>
    <w:rsid w:val="001247DD"/>
    <w:rsid w:val="001247F3"/>
    <w:rsid w:val="00126EF3"/>
    <w:rsid w:val="00127482"/>
    <w:rsid w:val="00131431"/>
    <w:rsid w:val="00132017"/>
    <w:rsid w:val="00132373"/>
    <w:rsid w:val="00132781"/>
    <w:rsid w:val="001347AC"/>
    <w:rsid w:val="0013506A"/>
    <w:rsid w:val="001354D5"/>
    <w:rsid w:val="00135B2A"/>
    <w:rsid w:val="00136EDF"/>
    <w:rsid w:val="00137CC5"/>
    <w:rsid w:val="001420E7"/>
    <w:rsid w:val="0014213F"/>
    <w:rsid w:val="001426D2"/>
    <w:rsid w:val="00142778"/>
    <w:rsid w:val="00143099"/>
    <w:rsid w:val="00143D7B"/>
    <w:rsid w:val="00143F9F"/>
    <w:rsid w:val="00144269"/>
    <w:rsid w:val="00144CAF"/>
    <w:rsid w:val="0014605C"/>
    <w:rsid w:val="00146C95"/>
    <w:rsid w:val="001471CA"/>
    <w:rsid w:val="00150258"/>
    <w:rsid w:val="001509CB"/>
    <w:rsid w:val="001516C6"/>
    <w:rsid w:val="00153991"/>
    <w:rsid w:val="001540CC"/>
    <w:rsid w:val="00154649"/>
    <w:rsid w:val="00154B0E"/>
    <w:rsid w:val="001554D1"/>
    <w:rsid w:val="001559EF"/>
    <w:rsid w:val="00156D73"/>
    <w:rsid w:val="0015774F"/>
    <w:rsid w:val="00162C3B"/>
    <w:rsid w:val="00163CA4"/>
    <w:rsid w:val="00164A10"/>
    <w:rsid w:val="00165DEE"/>
    <w:rsid w:val="001662D4"/>
    <w:rsid w:val="00166710"/>
    <w:rsid w:val="001700BB"/>
    <w:rsid w:val="001703A8"/>
    <w:rsid w:val="00170F8D"/>
    <w:rsid w:val="00171755"/>
    <w:rsid w:val="0017181A"/>
    <w:rsid w:val="001740B5"/>
    <w:rsid w:val="0017440A"/>
    <w:rsid w:val="0017568B"/>
    <w:rsid w:val="00175BAD"/>
    <w:rsid w:val="00176275"/>
    <w:rsid w:val="0017695F"/>
    <w:rsid w:val="00176A88"/>
    <w:rsid w:val="00176F8A"/>
    <w:rsid w:val="0017717C"/>
    <w:rsid w:val="001774B9"/>
    <w:rsid w:val="001776E4"/>
    <w:rsid w:val="001777CC"/>
    <w:rsid w:val="00180FEC"/>
    <w:rsid w:val="001811DA"/>
    <w:rsid w:val="001814B9"/>
    <w:rsid w:val="00181C44"/>
    <w:rsid w:val="00181EF2"/>
    <w:rsid w:val="00182B14"/>
    <w:rsid w:val="00183190"/>
    <w:rsid w:val="00183DAF"/>
    <w:rsid w:val="0018530F"/>
    <w:rsid w:val="00185B75"/>
    <w:rsid w:val="0019124C"/>
    <w:rsid w:val="00191277"/>
    <w:rsid w:val="001912BF"/>
    <w:rsid w:val="00191786"/>
    <w:rsid w:val="001935E6"/>
    <w:rsid w:val="00194345"/>
    <w:rsid w:val="001957B7"/>
    <w:rsid w:val="001964F0"/>
    <w:rsid w:val="00196A4C"/>
    <w:rsid w:val="00197674"/>
    <w:rsid w:val="00197AB3"/>
    <w:rsid w:val="00197ABC"/>
    <w:rsid w:val="001A11A9"/>
    <w:rsid w:val="001A1AD9"/>
    <w:rsid w:val="001A3C3B"/>
    <w:rsid w:val="001A4DA2"/>
    <w:rsid w:val="001A5371"/>
    <w:rsid w:val="001A5A1F"/>
    <w:rsid w:val="001A5F65"/>
    <w:rsid w:val="001A6005"/>
    <w:rsid w:val="001A63C5"/>
    <w:rsid w:val="001A7F32"/>
    <w:rsid w:val="001B0D98"/>
    <w:rsid w:val="001B25E8"/>
    <w:rsid w:val="001B2EA2"/>
    <w:rsid w:val="001B372F"/>
    <w:rsid w:val="001B3E49"/>
    <w:rsid w:val="001B530D"/>
    <w:rsid w:val="001B54C5"/>
    <w:rsid w:val="001B5758"/>
    <w:rsid w:val="001B64A8"/>
    <w:rsid w:val="001B6623"/>
    <w:rsid w:val="001B786A"/>
    <w:rsid w:val="001C02E5"/>
    <w:rsid w:val="001C058B"/>
    <w:rsid w:val="001C07A9"/>
    <w:rsid w:val="001C1E17"/>
    <w:rsid w:val="001C4414"/>
    <w:rsid w:val="001C50E5"/>
    <w:rsid w:val="001C6621"/>
    <w:rsid w:val="001D049E"/>
    <w:rsid w:val="001D21E3"/>
    <w:rsid w:val="001D2D5D"/>
    <w:rsid w:val="001D2DA3"/>
    <w:rsid w:val="001D3F81"/>
    <w:rsid w:val="001D4615"/>
    <w:rsid w:val="001D4725"/>
    <w:rsid w:val="001D5469"/>
    <w:rsid w:val="001D5D4B"/>
    <w:rsid w:val="001D6490"/>
    <w:rsid w:val="001D717C"/>
    <w:rsid w:val="001D7369"/>
    <w:rsid w:val="001D7661"/>
    <w:rsid w:val="001E0AB1"/>
    <w:rsid w:val="001E0B1B"/>
    <w:rsid w:val="001E1FEA"/>
    <w:rsid w:val="001E212A"/>
    <w:rsid w:val="001E280D"/>
    <w:rsid w:val="001E2C56"/>
    <w:rsid w:val="001E409C"/>
    <w:rsid w:val="001E4CB1"/>
    <w:rsid w:val="001E4D08"/>
    <w:rsid w:val="001E55DA"/>
    <w:rsid w:val="001E6C56"/>
    <w:rsid w:val="001E6CEB"/>
    <w:rsid w:val="001F093A"/>
    <w:rsid w:val="001F1225"/>
    <w:rsid w:val="001F1512"/>
    <w:rsid w:val="001F2DBD"/>
    <w:rsid w:val="001F510C"/>
    <w:rsid w:val="001F5805"/>
    <w:rsid w:val="00200191"/>
    <w:rsid w:val="0020087F"/>
    <w:rsid w:val="00200A27"/>
    <w:rsid w:val="00200E2A"/>
    <w:rsid w:val="002020AA"/>
    <w:rsid w:val="00202C7C"/>
    <w:rsid w:val="00204165"/>
    <w:rsid w:val="00206034"/>
    <w:rsid w:val="00206897"/>
    <w:rsid w:val="00206A98"/>
    <w:rsid w:val="00206D4D"/>
    <w:rsid w:val="00206D75"/>
    <w:rsid w:val="00210254"/>
    <w:rsid w:val="0021038C"/>
    <w:rsid w:val="002105BA"/>
    <w:rsid w:val="00210CA5"/>
    <w:rsid w:val="00211188"/>
    <w:rsid w:val="0021196A"/>
    <w:rsid w:val="00211B0C"/>
    <w:rsid w:val="002123D1"/>
    <w:rsid w:val="00212BC9"/>
    <w:rsid w:val="002130A4"/>
    <w:rsid w:val="002149D8"/>
    <w:rsid w:val="00214E3B"/>
    <w:rsid w:val="00215D37"/>
    <w:rsid w:val="00216485"/>
    <w:rsid w:val="00220818"/>
    <w:rsid w:val="00220F07"/>
    <w:rsid w:val="0022102B"/>
    <w:rsid w:val="0022129C"/>
    <w:rsid w:val="00221BBC"/>
    <w:rsid w:val="0022361C"/>
    <w:rsid w:val="0022361D"/>
    <w:rsid w:val="00224BE0"/>
    <w:rsid w:val="002256EC"/>
    <w:rsid w:val="00225F96"/>
    <w:rsid w:val="00226AA7"/>
    <w:rsid w:val="002276D5"/>
    <w:rsid w:val="00227E34"/>
    <w:rsid w:val="002305C3"/>
    <w:rsid w:val="002305DB"/>
    <w:rsid w:val="00230B60"/>
    <w:rsid w:val="002312AF"/>
    <w:rsid w:val="00231F58"/>
    <w:rsid w:val="00231F81"/>
    <w:rsid w:val="002326F3"/>
    <w:rsid w:val="0023462D"/>
    <w:rsid w:val="00234C14"/>
    <w:rsid w:val="002355D6"/>
    <w:rsid w:val="00240A7E"/>
    <w:rsid w:val="002417E0"/>
    <w:rsid w:val="00241F7C"/>
    <w:rsid w:val="0024268A"/>
    <w:rsid w:val="0024302E"/>
    <w:rsid w:val="00243159"/>
    <w:rsid w:val="002432B6"/>
    <w:rsid w:val="00243B2E"/>
    <w:rsid w:val="00243E6D"/>
    <w:rsid w:val="00243E9C"/>
    <w:rsid w:val="00244567"/>
    <w:rsid w:val="00245AFD"/>
    <w:rsid w:val="00245B2C"/>
    <w:rsid w:val="00246578"/>
    <w:rsid w:val="00246820"/>
    <w:rsid w:val="0024753B"/>
    <w:rsid w:val="0024768E"/>
    <w:rsid w:val="00247A30"/>
    <w:rsid w:val="0025027A"/>
    <w:rsid w:val="00250FB1"/>
    <w:rsid w:val="0025120C"/>
    <w:rsid w:val="0025189F"/>
    <w:rsid w:val="002519CA"/>
    <w:rsid w:val="00251F93"/>
    <w:rsid w:val="00253172"/>
    <w:rsid w:val="00253682"/>
    <w:rsid w:val="00254BE6"/>
    <w:rsid w:val="0025591C"/>
    <w:rsid w:val="00256061"/>
    <w:rsid w:val="00257296"/>
    <w:rsid w:val="00257D67"/>
    <w:rsid w:val="00260AD1"/>
    <w:rsid w:val="002619D8"/>
    <w:rsid w:val="00263794"/>
    <w:rsid w:val="00263DA5"/>
    <w:rsid w:val="002641EA"/>
    <w:rsid w:val="002644DC"/>
    <w:rsid w:val="002645A1"/>
    <w:rsid w:val="00265408"/>
    <w:rsid w:val="00265746"/>
    <w:rsid w:val="002665A2"/>
    <w:rsid w:val="0026713E"/>
    <w:rsid w:val="00267377"/>
    <w:rsid w:val="0027237A"/>
    <w:rsid w:val="002736F7"/>
    <w:rsid w:val="00273F37"/>
    <w:rsid w:val="002748F6"/>
    <w:rsid w:val="00274E2B"/>
    <w:rsid w:val="00276816"/>
    <w:rsid w:val="0027756F"/>
    <w:rsid w:val="002779F5"/>
    <w:rsid w:val="00282492"/>
    <w:rsid w:val="00282BBB"/>
    <w:rsid w:val="002848CD"/>
    <w:rsid w:val="002853B5"/>
    <w:rsid w:val="002859C7"/>
    <w:rsid w:val="0028711D"/>
    <w:rsid w:val="002901C7"/>
    <w:rsid w:val="002911FE"/>
    <w:rsid w:val="00291619"/>
    <w:rsid w:val="00292508"/>
    <w:rsid w:val="002925D5"/>
    <w:rsid w:val="00293BD5"/>
    <w:rsid w:val="0029407C"/>
    <w:rsid w:val="00294D87"/>
    <w:rsid w:val="002951AE"/>
    <w:rsid w:val="00295C79"/>
    <w:rsid w:val="00297E75"/>
    <w:rsid w:val="002A0E94"/>
    <w:rsid w:val="002A2199"/>
    <w:rsid w:val="002A250E"/>
    <w:rsid w:val="002A2B60"/>
    <w:rsid w:val="002A5641"/>
    <w:rsid w:val="002A5AEE"/>
    <w:rsid w:val="002A6843"/>
    <w:rsid w:val="002A7319"/>
    <w:rsid w:val="002A7B66"/>
    <w:rsid w:val="002B0189"/>
    <w:rsid w:val="002B1B9A"/>
    <w:rsid w:val="002B3C4A"/>
    <w:rsid w:val="002B4110"/>
    <w:rsid w:val="002B4D59"/>
    <w:rsid w:val="002B5C01"/>
    <w:rsid w:val="002C160D"/>
    <w:rsid w:val="002C2C87"/>
    <w:rsid w:val="002C31EF"/>
    <w:rsid w:val="002C323B"/>
    <w:rsid w:val="002C395F"/>
    <w:rsid w:val="002C636D"/>
    <w:rsid w:val="002C643F"/>
    <w:rsid w:val="002C6AB8"/>
    <w:rsid w:val="002C6DC0"/>
    <w:rsid w:val="002C6F25"/>
    <w:rsid w:val="002C738C"/>
    <w:rsid w:val="002D0EE6"/>
    <w:rsid w:val="002D110D"/>
    <w:rsid w:val="002D1EA7"/>
    <w:rsid w:val="002D2627"/>
    <w:rsid w:val="002D26BB"/>
    <w:rsid w:val="002D27DA"/>
    <w:rsid w:val="002D3F90"/>
    <w:rsid w:val="002D421F"/>
    <w:rsid w:val="002D424A"/>
    <w:rsid w:val="002D51B8"/>
    <w:rsid w:val="002D54B9"/>
    <w:rsid w:val="002D6011"/>
    <w:rsid w:val="002D6639"/>
    <w:rsid w:val="002D7F2C"/>
    <w:rsid w:val="002E096D"/>
    <w:rsid w:val="002E0A62"/>
    <w:rsid w:val="002E1B82"/>
    <w:rsid w:val="002E36B8"/>
    <w:rsid w:val="002E4775"/>
    <w:rsid w:val="002E4850"/>
    <w:rsid w:val="002E67DE"/>
    <w:rsid w:val="002E68CD"/>
    <w:rsid w:val="002E7C76"/>
    <w:rsid w:val="002F00A9"/>
    <w:rsid w:val="002F0EC3"/>
    <w:rsid w:val="002F1513"/>
    <w:rsid w:val="002F214D"/>
    <w:rsid w:val="002F3215"/>
    <w:rsid w:val="002F3ECB"/>
    <w:rsid w:val="002F51CF"/>
    <w:rsid w:val="002F5476"/>
    <w:rsid w:val="002F5633"/>
    <w:rsid w:val="002F5813"/>
    <w:rsid w:val="002F75A5"/>
    <w:rsid w:val="002F7EBB"/>
    <w:rsid w:val="003006A2"/>
    <w:rsid w:val="00300747"/>
    <w:rsid w:val="003012D5"/>
    <w:rsid w:val="00302995"/>
    <w:rsid w:val="00302D19"/>
    <w:rsid w:val="00302F67"/>
    <w:rsid w:val="0030329A"/>
    <w:rsid w:val="003035D6"/>
    <w:rsid w:val="00303C04"/>
    <w:rsid w:val="00304374"/>
    <w:rsid w:val="003043D0"/>
    <w:rsid w:val="003043F2"/>
    <w:rsid w:val="003045FB"/>
    <w:rsid w:val="003049BD"/>
    <w:rsid w:val="00305576"/>
    <w:rsid w:val="00305FD3"/>
    <w:rsid w:val="003060E9"/>
    <w:rsid w:val="003061DF"/>
    <w:rsid w:val="00307AAC"/>
    <w:rsid w:val="003109F8"/>
    <w:rsid w:val="003111EA"/>
    <w:rsid w:val="00311FAB"/>
    <w:rsid w:val="00312374"/>
    <w:rsid w:val="003129D2"/>
    <w:rsid w:val="00312A5D"/>
    <w:rsid w:val="003144C7"/>
    <w:rsid w:val="0031547A"/>
    <w:rsid w:val="003163EE"/>
    <w:rsid w:val="00321956"/>
    <w:rsid w:val="0032295E"/>
    <w:rsid w:val="003232CA"/>
    <w:rsid w:val="003238D3"/>
    <w:rsid w:val="00323AE0"/>
    <w:rsid w:val="00323E08"/>
    <w:rsid w:val="0032475C"/>
    <w:rsid w:val="00325AAE"/>
    <w:rsid w:val="00325E54"/>
    <w:rsid w:val="0032631C"/>
    <w:rsid w:val="00326A36"/>
    <w:rsid w:val="00326DEB"/>
    <w:rsid w:val="003275F6"/>
    <w:rsid w:val="00330840"/>
    <w:rsid w:val="00332911"/>
    <w:rsid w:val="00333C33"/>
    <w:rsid w:val="00334023"/>
    <w:rsid w:val="00334D63"/>
    <w:rsid w:val="003356C1"/>
    <w:rsid w:val="00341395"/>
    <w:rsid w:val="00344244"/>
    <w:rsid w:val="00344CAD"/>
    <w:rsid w:val="00344DB9"/>
    <w:rsid w:val="00345AC1"/>
    <w:rsid w:val="00345EFF"/>
    <w:rsid w:val="00346026"/>
    <w:rsid w:val="00351536"/>
    <w:rsid w:val="003519F4"/>
    <w:rsid w:val="0035246E"/>
    <w:rsid w:val="00352C08"/>
    <w:rsid w:val="0035312F"/>
    <w:rsid w:val="003532C6"/>
    <w:rsid w:val="0035337E"/>
    <w:rsid w:val="0035395B"/>
    <w:rsid w:val="00353B40"/>
    <w:rsid w:val="00354933"/>
    <w:rsid w:val="00355579"/>
    <w:rsid w:val="00355A34"/>
    <w:rsid w:val="00355D17"/>
    <w:rsid w:val="00355DB2"/>
    <w:rsid w:val="00356B12"/>
    <w:rsid w:val="00356B13"/>
    <w:rsid w:val="00356E0E"/>
    <w:rsid w:val="003606D2"/>
    <w:rsid w:val="00360BB4"/>
    <w:rsid w:val="00360DBD"/>
    <w:rsid w:val="00362D4B"/>
    <w:rsid w:val="00363744"/>
    <w:rsid w:val="0036473A"/>
    <w:rsid w:val="003649D5"/>
    <w:rsid w:val="00365D36"/>
    <w:rsid w:val="003664F9"/>
    <w:rsid w:val="00366614"/>
    <w:rsid w:val="003669E2"/>
    <w:rsid w:val="00366C43"/>
    <w:rsid w:val="00366CE6"/>
    <w:rsid w:val="00367A23"/>
    <w:rsid w:val="00367F7C"/>
    <w:rsid w:val="0037280D"/>
    <w:rsid w:val="00372A54"/>
    <w:rsid w:val="00374CCB"/>
    <w:rsid w:val="00374DB0"/>
    <w:rsid w:val="0037569F"/>
    <w:rsid w:val="00375981"/>
    <w:rsid w:val="00376CC4"/>
    <w:rsid w:val="003774F4"/>
    <w:rsid w:val="0038003B"/>
    <w:rsid w:val="0038073E"/>
    <w:rsid w:val="003821A9"/>
    <w:rsid w:val="003826E2"/>
    <w:rsid w:val="00382D59"/>
    <w:rsid w:val="00383B1A"/>
    <w:rsid w:val="00385E37"/>
    <w:rsid w:val="00385FE9"/>
    <w:rsid w:val="00386457"/>
    <w:rsid w:val="00387661"/>
    <w:rsid w:val="00390006"/>
    <w:rsid w:val="00391083"/>
    <w:rsid w:val="0039215E"/>
    <w:rsid w:val="0039294A"/>
    <w:rsid w:val="003930D2"/>
    <w:rsid w:val="003945EE"/>
    <w:rsid w:val="00395165"/>
    <w:rsid w:val="003954AC"/>
    <w:rsid w:val="00396A94"/>
    <w:rsid w:val="003972C2"/>
    <w:rsid w:val="003A0001"/>
    <w:rsid w:val="003A1215"/>
    <w:rsid w:val="003A420D"/>
    <w:rsid w:val="003A4BB7"/>
    <w:rsid w:val="003A584C"/>
    <w:rsid w:val="003A7AB3"/>
    <w:rsid w:val="003B1D9A"/>
    <w:rsid w:val="003B284F"/>
    <w:rsid w:val="003B340C"/>
    <w:rsid w:val="003B3E7C"/>
    <w:rsid w:val="003B4079"/>
    <w:rsid w:val="003B6ADA"/>
    <w:rsid w:val="003B774D"/>
    <w:rsid w:val="003B7838"/>
    <w:rsid w:val="003B7950"/>
    <w:rsid w:val="003B7F65"/>
    <w:rsid w:val="003C2EFE"/>
    <w:rsid w:val="003C3214"/>
    <w:rsid w:val="003C4EB4"/>
    <w:rsid w:val="003C51B9"/>
    <w:rsid w:val="003C5F78"/>
    <w:rsid w:val="003C75D4"/>
    <w:rsid w:val="003D1B55"/>
    <w:rsid w:val="003D21A9"/>
    <w:rsid w:val="003D28B8"/>
    <w:rsid w:val="003D2BB0"/>
    <w:rsid w:val="003D3293"/>
    <w:rsid w:val="003D37BC"/>
    <w:rsid w:val="003D4F32"/>
    <w:rsid w:val="003D5127"/>
    <w:rsid w:val="003D6903"/>
    <w:rsid w:val="003E0BEB"/>
    <w:rsid w:val="003E0BF4"/>
    <w:rsid w:val="003E1594"/>
    <w:rsid w:val="003E3975"/>
    <w:rsid w:val="003E5160"/>
    <w:rsid w:val="003E532F"/>
    <w:rsid w:val="003E60A4"/>
    <w:rsid w:val="003E6D37"/>
    <w:rsid w:val="003E6E23"/>
    <w:rsid w:val="003E76C2"/>
    <w:rsid w:val="003E7CC7"/>
    <w:rsid w:val="003F1021"/>
    <w:rsid w:val="003F4685"/>
    <w:rsid w:val="003F4806"/>
    <w:rsid w:val="003F4815"/>
    <w:rsid w:val="003F4C8B"/>
    <w:rsid w:val="003F5894"/>
    <w:rsid w:val="003F6A69"/>
    <w:rsid w:val="003F6C13"/>
    <w:rsid w:val="003F6D01"/>
    <w:rsid w:val="004004DD"/>
    <w:rsid w:val="004044CF"/>
    <w:rsid w:val="00404A41"/>
    <w:rsid w:val="00404A45"/>
    <w:rsid w:val="00404CC1"/>
    <w:rsid w:val="00405B43"/>
    <w:rsid w:val="00405E88"/>
    <w:rsid w:val="00406424"/>
    <w:rsid w:val="00410B77"/>
    <w:rsid w:val="00410F29"/>
    <w:rsid w:val="00411E06"/>
    <w:rsid w:val="00411E46"/>
    <w:rsid w:val="004123DA"/>
    <w:rsid w:val="00412485"/>
    <w:rsid w:val="0041439D"/>
    <w:rsid w:val="00414876"/>
    <w:rsid w:val="00415389"/>
    <w:rsid w:val="00415F1A"/>
    <w:rsid w:val="0041600B"/>
    <w:rsid w:val="00416EC3"/>
    <w:rsid w:val="00420848"/>
    <w:rsid w:val="004213EB"/>
    <w:rsid w:val="00421C7B"/>
    <w:rsid w:val="00422B83"/>
    <w:rsid w:val="00422CD5"/>
    <w:rsid w:val="00422DAA"/>
    <w:rsid w:val="00423886"/>
    <w:rsid w:val="00423CCF"/>
    <w:rsid w:val="00423FA1"/>
    <w:rsid w:val="004246E6"/>
    <w:rsid w:val="00424E4B"/>
    <w:rsid w:val="0042533E"/>
    <w:rsid w:val="00426F74"/>
    <w:rsid w:val="00426F85"/>
    <w:rsid w:val="004271A9"/>
    <w:rsid w:val="0042790D"/>
    <w:rsid w:val="00430C29"/>
    <w:rsid w:val="00430FE9"/>
    <w:rsid w:val="004313D9"/>
    <w:rsid w:val="0043168F"/>
    <w:rsid w:val="00432CA0"/>
    <w:rsid w:val="004331DE"/>
    <w:rsid w:val="00433D94"/>
    <w:rsid w:val="00434727"/>
    <w:rsid w:val="00434E8A"/>
    <w:rsid w:val="00436392"/>
    <w:rsid w:val="004363A8"/>
    <w:rsid w:val="0043690E"/>
    <w:rsid w:val="004420DD"/>
    <w:rsid w:val="00442F1A"/>
    <w:rsid w:val="004430B5"/>
    <w:rsid w:val="004436F1"/>
    <w:rsid w:val="004440AB"/>
    <w:rsid w:val="00444130"/>
    <w:rsid w:val="00444841"/>
    <w:rsid w:val="0044507D"/>
    <w:rsid w:val="004450D7"/>
    <w:rsid w:val="004452C4"/>
    <w:rsid w:val="00445755"/>
    <w:rsid w:val="00445BE5"/>
    <w:rsid w:val="00445D81"/>
    <w:rsid w:val="00447CE6"/>
    <w:rsid w:val="004503C7"/>
    <w:rsid w:val="00451AC0"/>
    <w:rsid w:val="00451B80"/>
    <w:rsid w:val="00452345"/>
    <w:rsid w:val="00453618"/>
    <w:rsid w:val="00453F77"/>
    <w:rsid w:val="0045483C"/>
    <w:rsid w:val="00461647"/>
    <w:rsid w:val="00461848"/>
    <w:rsid w:val="004629EA"/>
    <w:rsid w:val="00462C44"/>
    <w:rsid w:val="00462D7D"/>
    <w:rsid w:val="004631BD"/>
    <w:rsid w:val="004642F7"/>
    <w:rsid w:val="004651F2"/>
    <w:rsid w:val="00465753"/>
    <w:rsid w:val="00465F57"/>
    <w:rsid w:val="00466904"/>
    <w:rsid w:val="00467523"/>
    <w:rsid w:val="00470B62"/>
    <w:rsid w:val="00471D8C"/>
    <w:rsid w:val="00472145"/>
    <w:rsid w:val="00472C84"/>
    <w:rsid w:val="00472CCD"/>
    <w:rsid w:val="00472E74"/>
    <w:rsid w:val="004734A4"/>
    <w:rsid w:val="00475364"/>
    <w:rsid w:val="00475BBE"/>
    <w:rsid w:val="0047701C"/>
    <w:rsid w:val="00477549"/>
    <w:rsid w:val="004777D7"/>
    <w:rsid w:val="0048085A"/>
    <w:rsid w:val="00481858"/>
    <w:rsid w:val="00481F05"/>
    <w:rsid w:val="00482113"/>
    <w:rsid w:val="00482314"/>
    <w:rsid w:val="00482CAB"/>
    <w:rsid w:val="00482D29"/>
    <w:rsid w:val="00482E51"/>
    <w:rsid w:val="00483F51"/>
    <w:rsid w:val="004842C5"/>
    <w:rsid w:val="0048444A"/>
    <w:rsid w:val="00485512"/>
    <w:rsid w:val="00487604"/>
    <w:rsid w:val="00487B45"/>
    <w:rsid w:val="00490BB3"/>
    <w:rsid w:val="00491906"/>
    <w:rsid w:val="004922F2"/>
    <w:rsid w:val="0049281A"/>
    <w:rsid w:val="00492FB4"/>
    <w:rsid w:val="00493DDB"/>
    <w:rsid w:val="0049476B"/>
    <w:rsid w:val="00494AA5"/>
    <w:rsid w:val="00494BF5"/>
    <w:rsid w:val="00495671"/>
    <w:rsid w:val="004962B4"/>
    <w:rsid w:val="00496454"/>
    <w:rsid w:val="0049746C"/>
    <w:rsid w:val="00497ABF"/>
    <w:rsid w:val="004A160C"/>
    <w:rsid w:val="004A1C13"/>
    <w:rsid w:val="004A26D5"/>
    <w:rsid w:val="004A302A"/>
    <w:rsid w:val="004A36F0"/>
    <w:rsid w:val="004A4372"/>
    <w:rsid w:val="004A467D"/>
    <w:rsid w:val="004A4EDB"/>
    <w:rsid w:val="004A51B6"/>
    <w:rsid w:val="004A526D"/>
    <w:rsid w:val="004A6547"/>
    <w:rsid w:val="004A6937"/>
    <w:rsid w:val="004B0727"/>
    <w:rsid w:val="004B242E"/>
    <w:rsid w:val="004B39E8"/>
    <w:rsid w:val="004B3B3A"/>
    <w:rsid w:val="004B3F8A"/>
    <w:rsid w:val="004B40A2"/>
    <w:rsid w:val="004B455F"/>
    <w:rsid w:val="004B4735"/>
    <w:rsid w:val="004B4FE3"/>
    <w:rsid w:val="004B6658"/>
    <w:rsid w:val="004B6EA9"/>
    <w:rsid w:val="004C1D1D"/>
    <w:rsid w:val="004C3A72"/>
    <w:rsid w:val="004C3F32"/>
    <w:rsid w:val="004C481D"/>
    <w:rsid w:val="004C4D12"/>
    <w:rsid w:val="004C5765"/>
    <w:rsid w:val="004C5BB8"/>
    <w:rsid w:val="004C5C3C"/>
    <w:rsid w:val="004C6723"/>
    <w:rsid w:val="004C7F9E"/>
    <w:rsid w:val="004D12C7"/>
    <w:rsid w:val="004D1497"/>
    <w:rsid w:val="004D1A72"/>
    <w:rsid w:val="004D1C61"/>
    <w:rsid w:val="004D2069"/>
    <w:rsid w:val="004D22E6"/>
    <w:rsid w:val="004D2A9A"/>
    <w:rsid w:val="004D36E5"/>
    <w:rsid w:val="004D37AA"/>
    <w:rsid w:val="004D3BD5"/>
    <w:rsid w:val="004D427C"/>
    <w:rsid w:val="004D441F"/>
    <w:rsid w:val="004D45D9"/>
    <w:rsid w:val="004D4D57"/>
    <w:rsid w:val="004D7326"/>
    <w:rsid w:val="004D748B"/>
    <w:rsid w:val="004D78CD"/>
    <w:rsid w:val="004D79BF"/>
    <w:rsid w:val="004D7EB2"/>
    <w:rsid w:val="004E0272"/>
    <w:rsid w:val="004E03F9"/>
    <w:rsid w:val="004E09DD"/>
    <w:rsid w:val="004E156F"/>
    <w:rsid w:val="004E16F6"/>
    <w:rsid w:val="004E1B29"/>
    <w:rsid w:val="004E386B"/>
    <w:rsid w:val="004E5775"/>
    <w:rsid w:val="004F32F3"/>
    <w:rsid w:val="004F4B0E"/>
    <w:rsid w:val="004F4BE3"/>
    <w:rsid w:val="004F4EAD"/>
    <w:rsid w:val="004F500D"/>
    <w:rsid w:val="004F51D1"/>
    <w:rsid w:val="004F6882"/>
    <w:rsid w:val="004F6B5B"/>
    <w:rsid w:val="004F73F3"/>
    <w:rsid w:val="004F794A"/>
    <w:rsid w:val="00500318"/>
    <w:rsid w:val="00500FE6"/>
    <w:rsid w:val="00501DAD"/>
    <w:rsid w:val="005021E4"/>
    <w:rsid w:val="00502712"/>
    <w:rsid w:val="005033D4"/>
    <w:rsid w:val="00503E75"/>
    <w:rsid w:val="00504B75"/>
    <w:rsid w:val="00504FC3"/>
    <w:rsid w:val="00505FFA"/>
    <w:rsid w:val="00506280"/>
    <w:rsid w:val="00506520"/>
    <w:rsid w:val="00507760"/>
    <w:rsid w:val="00507A3A"/>
    <w:rsid w:val="00507D8C"/>
    <w:rsid w:val="00510725"/>
    <w:rsid w:val="00511A0A"/>
    <w:rsid w:val="00513B1E"/>
    <w:rsid w:val="0051416D"/>
    <w:rsid w:val="0051444E"/>
    <w:rsid w:val="005204D0"/>
    <w:rsid w:val="00520D19"/>
    <w:rsid w:val="00521053"/>
    <w:rsid w:val="00521F86"/>
    <w:rsid w:val="0052278C"/>
    <w:rsid w:val="00522AC8"/>
    <w:rsid w:val="005234FD"/>
    <w:rsid w:val="0052412B"/>
    <w:rsid w:val="005269DD"/>
    <w:rsid w:val="00526E0B"/>
    <w:rsid w:val="00527144"/>
    <w:rsid w:val="0052727B"/>
    <w:rsid w:val="00531080"/>
    <w:rsid w:val="00531C22"/>
    <w:rsid w:val="00534867"/>
    <w:rsid w:val="00536149"/>
    <w:rsid w:val="005378C9"/>
    <w:rsid w:val="0054059E"/>
    <w:rsid w:val="005422F0"/>
    <w:rsid w:val="00543D33"/>
    <w:rsid w:val="0054486A"/>
    <w:rsid w:val="0054540C"/>
    <w:rsid w:val="00545E56"/>
    <w:rsid w:val="0054682F"/>
    <w:rsid w:val="0055167B"/>
    <w:rsid w:val="00551768"/>
    <w:rsid w:val="0055193C"/>
    <w:rsid w:val="0055235C"/>
    <w:rsid w:val="005526EF"/>
    <w:rsid w:val="00553AEC"/>
    <w:rsid w:val="00555516"/>
    <w:rsid w:val="005565A9"/>
    <w:rsid w:val="00556688"/>
    <w:rsid w:val="00557B65"/>
    <w:rsid w:val="00560A52"/>
    <w:rsid w:val="00560F68"/>
    <w:rsid w:val="005613E7"/>
    <w:rsid w:val="005620E4"/>
    <w:rsid w:val="005627A5"/>
    <w:rsid w:val="00562ACB"/>
    <w:rsid w:val="005636AB"/>
    <w:rsid w:val="005647B9"/>
    <w:rsid w:val="005648C4"/>
    <w:rsid w:val="00565219"/>
    <w:rsid w:val="005665AF"/>
    <w:rsid w:val="0056702D"/>
    <w:rsid w:val="00570AFD"/>
    <w:rsid w:val="00571240"/>
    <w:rsid w:val="00572D5F"/>
    <w:rsid w:val="00573FA2"/>
    <w:rsid w:val="005749DC"/>
    <w:rsid w:val="00576275"/>
    <w:rsid w:val="00576770"/>
    <w:rsid w:val="0057702B"/>
    <w:rsid w:val="005807E3"/>
    <w:rsid w:val="00580DFD"/>
    <w:rsid w:val="005823E8"/>
    <w:rsid w:val="00583004"/>
    <w:rsid w:val="0058347D"/>
    <w:rsid w:val="00583745"/>
    <w:rsid w:val="0058396E"/>
    <w:rsid w:val="00583EC8"/>
    <w:rsid w:val="00584E3A"/>
    <w:rsid w:val="00585039"/>
    <w:rsid w:val="00585077"/>
    <w:rsid w:val="00585231"/>
    <w:rsid w:val="00586591"/>
    <w:rsid w:val="005873EC"/>
    <w:rsid w:val="005914F9"/>
    <w:rsid w:val="00591597"/>
    <w:rsid w:val="00591E8F"/>
    <w:rsid w:val="00593F98"/>
    <w:rsid w:val="0059485E"/>
    <w:rsid w:val="00594908"/>
    <w:rsid w:val="00594F3E"/>
    <w:rsid w:val="00594FE3"/>
    <w:rsid w:val="0059596D"/>
    <w:rsid w:val="00597018"/>
    <w:rsid w:val="00597A3E"/>
    <w:rsid w:val="005A196C"/>
    <w:rsid w:val="005A2E9E"/>
    <w:rsid w:val="005A2EB0"/>
    <w:rsid w:val="005A2F9E"/>
    <w:rsid w:val="005A3079"/>
    <w:rsid w:val="005A45BE"/>
    <w:rsid w:val="005A4E11"/>
    <w:rsid w:val="005A512A"/>
    <w:rsid w:val="005A610A"/>
    <w:rsid w:val="005A68D3"/>
    <w:rsid w:val="005A6AB5"/>
    <w:rsid w:val="005A6AE1"/>
    <w:rsid w:val="005A7DD6"/>
    <w:rsid w:val="005B0244"/>
    <w:rsid w:val="005B086F"/>
    <w:rsid w:val="005B1191"/>
    <w:rsid w:val="005B13F9"/>
    <w:rsid w:val="005B23ED"/>
    <w:rsid w:val="005B325D"/>
    <w:rsid w:val="005B3609"/>
    <w:rsid w:val="005B5311"/>
    <w:rsid w:val="005B5447"/>
    <w:rsid w:val="005B5A28"/>
    <w:rsid w:val="005B5C2D"/>
    <w:rsid w:val="005B710F"/>
    <w:rsid w:val="005B7573"/>
    <w:rsid w:val="005C03C4"/>
    <w:rsid w:val="005C088A"/>
    <w:rsid w:val="005C08FA"/>
    <w:rsid w:val="005C0F1C"/>
    <w:rsid w:val="005C0F25"/>
    <w:rsid w:val="005C1012"/>
    <w:rsid w:val="005C29B7"/>
    <w:rsid w:val="005C3A90"/>
    <w:rsid w:val="005C4290"/>
    <w:rsid w:val="005C5D0C"/>
    <w:rsid w:val="005C5F2C"/>
    <w:rsid w:val="005C6429"/>
    <w:rsid w:val="005C700B"/>
    <w:rsid w:val="005C79FC"/>
    <w:rsid w:val="005D0424"/>
    <w:rsid w:val="005D0CBB"/>
    <w:rsid w:val="005D0E48"/>
    <w:rsid w:val="005D1442"/>
    <w:rsid w:val="005D14F3"/>
    <w:rsid w:val="005D1D8D"/>
    <w:rsid w:val="005D22C7"/>
    <w:rsid w:val="005D277F"/>
    <w:rsid w:val="005D2862"/>
    <w:rsid w:val="005D2EE0"/>
    <w:rsid w:val="005D31B5"/>
    <w:rsid w:val="005D4ED3"/>
    <w:rsid w:val="005D5997"/>
    <w:rsid w:val="005D6266"/>
    <w:rsid w:val="005D736A"/>
    <w:rsid w:val="005D7424"/>
    <w:rsid w:val="005D7B43"/>
    <w:rsid w:val="005E08D7"/>
    <w:rsid w:val="005E0C54"/>
    <w:rsid w:val="005E2BC6"/>
    <w:rsid w:val="005E2EAA"/>
    <w:rsid w:val="005E3FF7"/>
    <w:rsid w:val="005E4E24"/>
    <w:rsid w:val="005E516B"/>
    <w:rsid w:val="005E5DE7"/>
    <w:rsid w:val="005E6FE5"/>
    <w:rsid w:val="005E7226"/>
    <w:rsid w:val="005E74D1"/>
    <w:rsid w:val="005E7721"/>
    <w:rsid w:val="005E7A65"/>
    <w:rsid w:val="005F08AC"/>
    <w:rsid w:val="005F1A46"/>
    <w:rsid w:val="005F1CCC"/>
    <w:rsid w:val="005F2F7C"/>
    <w:rsid w:val="005F4EDC"/>
    <w:rsid w:val="005F5387"/>
    <w:rsid w:val="005F628E"/>
    <w:rsid w:val="005F670B"/>
    <w:rsid w:val="005F6B9C"/>
    <w:rsid w:val="005F7ADB"/>
    <w:rsid w:val="005F7FE8"/>
    <w:rsid w:val="00600611"/>
    <w:rsid w:val="006007F6"/>
    <w:rsid w:val="00600B79"/>
    <w:rsid w:val="00601A26"/>
    <w:rsid w:val="00602298"/>
    <w:rsid w:val="00602CBE"/>
    <w:rsid w:val="00602FAD"/>
    <w:rsid w:val="006030E7"/>
    <w:rsid w:val="0060358E"/>
    <w:rsid w:val="006057C0"/>
    <w:rsid w:val="00605B79"/>
    <w:rsid w:val="0060655D"/>
    <w:rsid w:val="006069D2"/>
    <w:rsid w:val="006072A5"/>
    <w:rsid w:val="00607428"/>
    <w:rsid w:val="00610ADE"/>
    <w:rsid w:val="006114BE"/>
    <w:rsid w:val="00611C3A"/>
    <w:rsid w:val="00613135"/>
    <w:rsid w:val="00613201"/>
    <w:rsid w:val="006146BD"/>
    <w:rsid w:val="006148EA"/>
    <w:rsid w:val="00614B64"/>
    <w:rsid w:val="00615061"/>
    <w:rsid w:val="00615326"/>
    <w:rsid w:val="00615BCA"/>
    <w:rsid w:val="006162C1"/>
    <w:rsid w:val="00616C1F"/>
    <w:rsid w:val="006176A1"/>
    <w:rsid w:val="00620465"/>
    <w:rsid w:val="00620581"/>
    <w:rsid w:val="00620CAD"/>
    <w:rsid w:val="0062137F"/>
    <w:rsid w:val="00621883"/>
    <w:rsid w:val="00621B98"/>
    <w:rsid w:val="0062249C"/>
    <w:rsid w:val="00622680"/>
    <w:rsid w:val="00622E27"/>
    <w:rsid w:val="00623775"/>
    <w:rsid w:val="00623DB5"/>
    <w:rsid w:val="00624DBC"/>
    <w:rsid w:val="00625308"/>
    <w:rsid w:val="0062637A"/>
    <w:rsid w:val="00626978"/>
    <w:rsid w:val="00627CFA"/>
    <w:rsid w:val="0063113A"/>
    <w:rsid w:val="00631275"/>
    <w:rsid w:val="006317BC"/>
    <w:rsid w:val="00631A9B"/>
    <w:rsid w:val="006330CD"/>
    <w:rsid w:val="006342B7"/>
    <w:rsid w:val="006345F4"/>
    <w:rsid w:val="006348FC"/>
    <w:rsid w:val="00635ADB"/>
    <w:rsid w:val="00636518"/>
    <w:rsid w:val="00636D32"/>
    <w:rsid w:val="00637ABA"/>
    <w:rsid w:val="00637DE8"/>
    <w:rsid w:val="006403F2"/>
    <w:rsid w:val="00640A42"/>
    <w:rsid w:val="00642A25"/>
    <w:rsid w:val="00643302"/>
    <w:rsid w:val="00644418"/>
    <w:rsid w:val="00644A18"/>
    <w:rsid w:val="00644AC7"/>
    <w:rsid w:val="006458F9"/>
    <w:rsid w:val="00645C44"/>
    <w:rsid w:val="00646020"/>
    <w:rsid w:val="006469A7"/>
    <w:rsid w:val="00647C19"/>
    <w:rsid w:val="00651ED3"/>
    <w:rsid w:val="00651FDA"/>
    <w:rsid w:val="00652646"/>
    <w:rsid w:val="006534BF"/>
    <w:rsid w:val="00653CCF"/>
    <w:rsid w:val="00654525"/>
    <w:rsid w:val="0065713D"/>
    <w:rsid w:val="00657A41"/>
    <w:rsid w:val="00660601"/>
    <w:rsid w:val="00660720"/>
    <w:rsid w:val="0066128D"/>
    <w:rsid w:val="00661A01"/>
    <w:rsid w:val="0066206C"/>
    <w:rsid w:val="006629F9"/>
    <w:rsid w:val="00663124"/>
    <w:rsid w:val="006631DA"/>
    <w:rsid w:val="006641C6"/>
    <w:rsid w:val="0066450A"/>
    <w:rsid w:val="006654EC"/>
    <w:rsid w:val="00665CE8"/>
    <w:rsid w:val="00667437"/>
    <w:rsid w:val="006674C0"/>
    <w:rsid w:val="006677C8"/>
    <w:rsid w:val="00670AA0"/>
    <w:rsid w:val="00670ED0"/>
    <w:rsid w:val="006714B1"/>
    <w:rsid w:val="00672260"/>
    <w:rsid w:val="00672A4B"/>
    <w:rsid w:val="00672DD5"/>
    <w:rsid w:val="006741D0"/>
    <w:rsid w:val="00674532"/>
    <w:rsid w:val="00674869"/>
    <w:rsid w:val="00674E66"/>
    <w:rsid w:val="00674FAC"/>
    <w:rsid w:val="0067548E"/>
    <w:rsid w:val="006758E0"/>
    <w:rsid w:val="00675A27"/>
    <w:rsid w:val="00680AAB"/>
    <w:rsid w:val="00680D61"/>
    <w:rsid w:val="00680E23"/>
    <w:rsid w:val="00681CFC"/>
    <w:rsid w:val="00682586"/>
    <w:rsid w:val="00682925"/>
    <w:rsid w:val="0068325A"/>
    <w:rsid w:val="0068341C"/>
    <w:rsid w:val="00684ED6"/>
    <w:rsid w:val="00687AA3"/>
    <w:rsid w:val="00693A40"/>
    <w:rsid w:val="00694076"/>
    <w:rsid w:val="006940E4"/>
    <w:rsid w:val="0069513D"/>
    <w:rsid w:val="006957BD"/>
    <w:rsid w:val="00695BBD"/>
    <w:rsid w:val="00696890"/>
    <w:rsid w:val="00696A54"/>
    <w:rsid w:val="00697988"/>
    <w:rsid w:val="006A09C7"/>
    <w:rsid w:val="006A1223"/>
    <w:rsid w:val="006A1A4E"/>
    <w:rsid w:val="006A1B97"/>
    <w:rsid w:val="006A1C1D"/>
    <w:rsid w:val="006A24A1"/>
    <w:rsid w:val="006A257D"/>
    <w:rsid w:val="006A2CC3"/>
    <w:rsid w:val="006A2E96"/>
    <w:rsid w:val="006A38C1"/>
    <w:rsid w:val="006A50F4"/>
    <w:rsid w:val="006A549F"/>
    <w:rsid w:val="006A656B"/>
    <w:rsid w:val="006A6944"/>
    <w:rsid w:val="006A6A40"/>
    <w:rsid w:val="006A7F07"/>
    <w:rsid w:val="006B0606"/>
    <w:rsid w:val="006B06D7"/>
    <w:rsid w:val="006B11B6"/>
    <w:rsid w:val="006B2565"/>
    <w:rsid w:val="006B25EB"/>
    <w:rsid w:val="006B3EBA"/>
    <w:rsid w:val="006B40A0"/>
    <w:rsid w:val="006B4A1E"/>
    <w:rsid w:val="006B5C33"/>
    <w:rsid w:val="006B6F73"/>
    <w:rsid w:val="006C0084"/>
    <w:rsid w:val="006C051A"/>
    <w:rsid w:val="006C0F8B"/>
    <w:rsid w:val="006C1830"/>
    <w:rsid w:val="006C2106"/>
    <w:rsid w:val="006C27E9"/>
    <w:rsid w:val="006C2819"/>
    <w:rsid w:val="006C3041"/>
    <w:rsid w:val="006C3218"/>
    <w:rsid w:val="006C3893"/>
    <w:rsid w:val="006C58F7"/>
    <w:rsid w:val="006C62A4"/>
    <w:rsid w:val="006D0621"/>
    <w:rsid w:val="006D0811"/>
    <w:rsid w:val="006D1D98"/>
    <w:rsid w:val="006D1F6F"/>
    <w:rsid w:val="006D2059"/>
    <w:rsid w:val="006D2785"/>
    <w:rsid w:val="006D2B17"/>
    <w:rsid w:val="006D5928"/>
    <w:rsid w:val="006D792D"/>
    <w:rsid w:val="006D7A27"/>
    <w:rsid w:val="006E0693"/>
    <w:rsid w:val="006E1766"/>
    <w:rsid w:val="006E37C4"/>
    <w:rsid w:val="006E3B52"/>
    <w:rsid w:val="006E3B79"/>
    <w:rsid w:val="006E4393"/>
    <w:rsid w:val="006E4780"/>
    <w:rsid w:val="006E5371"/>
    <w:rsid w:val="006E6C1C"/>
    <w:rsid w:val="006E6C4D"/>
    <w:rsid w:val="006F01A0"/>
    <w:rsid w:val="006F05F5"/>
    <w:rsid w:val="006F0C6F"/>
    <w:rsid w:val="006F1367"/>
    <w:rsid w:val="006F1DF6"/>
    <w:rsid w:val="006F26E7"/>
    <w:rsid w:val="006F3454"/>
    <w:rsid w:val="006F3A23"/>
    <w:rsid w:val="006F3E86"/>
    <w:rsid w:val="006F569C"/>
    <w:rsid w:val="006F5BEA"/>
    <w:rsid w:val="006F6CF9"/>
    <w:rsid w:val="0070063A"/>
    <w:rsid w:val="00701925"/>
    <w:rsid w:val="00702AF4"/>
    <w:rsid w:val="00702CE0"/>
    <w:rsid w:val="00703583"/>
    <w:rsid w:val="007037F9"/>
    <w:rsid w:val="007040ED"/>
    <w:rsid w:val="00704ADE"/>
    <w:rsid w:val="007050F9"/>
    <w:rsid w:val="00705ABE"/>
    <w:rsid w:val="00705F08"/>
    <w:rsid w:val="007065AF"/>
    <w:rsid w:val="007072D2"/>
    <w:rsid w:val="007109D3"/>
    <w:rsid w:val="00710ABB"/>
    <w:rsid w:val="007116FB"/>
    <w:rsid w:val="007126A4"/>
    <w:rsid w:val="00712AC9"/>
    <w:rsid w:val="00712ADE"/>
    <w:rsid w:val="007134DD"/>
    <w:rsid w:val="007136E5"/>
    <w:rsid w:val="0071497D"/>
    <w:rsid w:val="00715111"/>
    <w:rsid w:val="00715C02"/>
    <w:rsid w:val="00715D92"/>
    <w:rsid w:val="007162E2"/>
    <w:rsid w:val="0071654E"/>
    <w:rsid w:val="00716BAD"/>
    <w:rsid w:val="00716D11"/>
    <w:rsid w:val="00716D38"/>
    <w:rsid w:val="007205B2"/>
    <w:rsid w:val="00720C7C"/>
    <w:rsid w:val="00720C9E"/>
    <w:rsid w:val="00721B22"/>
    <w:rsid w:val="00723018"/>
    <w:rsid w:val="00723068"/>
    <w:rsid w:val="007232AC"/>
    <w:rsid w:val="007237DA"/>
    <w:rsid w:val="007237E5"/>
    <w:rsid w:val="0072430D"/>
    <w:rsid w:val="0072625E"/>
    <w:rsid w:val="007266ED"/>
    <w:rsid w:val="00726DC1"/>
    <w:rsid w:val="00727AB2"/>
    <w:rsid w:val="00727D8E"/>
    <w:rsid w:val="00730C36"/>
    <w:rsid w:val="00731241"/>
    <w:rsid w:val="00731A78"/>
    <w:rsid w:val="00733B5E"/>
    <w:rsid w:val="007348EE"/>
    <w:rsid w:val="00734CF7"/>
    <w:rsid w:val="007354DD"/>
    <w:rsid w:val="00735605"/>
    <w:rsid w:val="00736015"/>
    <w:rsid w:val="00736D93"/>
    <w:rsid w:val="00737867"/>
    <w:rsid w:val="00737F87"/>
    <w:rsid w:val="00740CA4"/>
    <w:rsid w:val="0074100F"/>
    <w:rsid w:val="00741746"/>
    <w:rsid w:val="00741A94"/>
    <w:rsid w:val="007421FF"/>
    <w:rsid w:val="0074303F"/>
    <w:rsid w:val="00743A62"/>
    <w:rsid w:val="007468C4"/>
    <w:rsid w:val="00746E96"/>
    <w:rsid w:val="0074716E"/>
    <w:rsid w:val="007511F6"/>
    <w:rsid w:val="007518AC"/>
    <w:rsid w:val="00751D2E"/>
    <w:rsid w:val="00753249"/>
    <w:rsid w:val="0075357C"/>
    <w:rsid w:val="00754152"/>
    <w:rsid w:val="00754BF7"/>
    <w:rsid w:val="00755198"/>
    <w:rsid w:val="007555C4"/>
    <w:rsid w:val="00755A78"/>
    <w:rsid w:val="00755DB1"/>
    <w:rsid w:val="00760575"/>
    <w:rsid w:val="0076072D"/>
    <w:rsid w:val="00760834"/>
    <w:rsid w:val="00760ACF"/>
    <w:rsid w:val="0076310C"/>
    <w:rsid w:val="00765358"/>
    <w:rsid w:val="007654BB"/>
    <w:rsid w:val="00765E5E"/>
    <w:rsid w:val="00767378"/>
    <w:rsid w:val="007728C9"/>
    <w:rsid w:val="00773B11"/>
    <w:rsid w:val="00773F3D"/>
    <w:rsid w:val="00775FF7"/>
    <w:rsid w:val="007761D2"/>
    <w:rsid w:val="007767D0"/>
    <w:rsid w:val="00781685"/>
    <w:rsid w:val="00782108"/>
    <w:rsid w:val="00782914"/>
    <w:rsid w:val="00782B5D"/>
    <w:rsid w:val="00783E36"/>
    <w:rsid w:val="00785D8E"/>
    <w:rsid w:val="00786026"/>
    <w:rsid w:val="007861C6"/>
    <w:rsid w:val="007871F0"/>
    <w:rsid w:val="00787407"/>
    <w:rsid w:val="00787829"/>
    <w:rsid w:val="0079035D"/>
    <w:rsid w:val="00790392"/>
    <w:rsid w:val="00790E26"/>
    <w:rsid w:val="00792088"/>
    <w:rsid w:val="00792252"/>
    <w:rsid w:val="0079277F"/>
    <w:rsid w:val="00793759"/>
    <w:rsid w:val="0079405E"/>
    <w:rsid w:val="00794CA0"/>
    <w:rsid w:val="00796063"/>
    <w:rsid w:val="00797600"/>
    <w:rsid w:val="0079766C"/>
    <w:rsid w:val="00797E65"/>
    <w:rsid w:val="007A19A4"/>
    <w:rsid w:val="007A1FE0"/>
    <w:rsid w:val="007A3481"/>
    <w:rsid w:val="007A3EDD"/>
    <w:rsid w:val="007A7423"/>
    <w:rsid w:val="007A7F3E"/>
    <w:rsid w:val="007B0BEF"/>
    <w:rsid w:val="007B2227"/>
    <w:rsid w:val="007B393B"/>
    <w:rsid w:val="007B4137"/>
    <w:rsid w:val="007B46F5"/>
    <w:rsid w:val="007B5C8D"/>
    <w:rsid w:val="007B5E26"/>
    <w:rsid w:val="007B5F04"/>
    <w:rsid w:val="007B627D"/>
    <w:rsid w:val="007B6403"/>
    <w:rsid w:val="007B6DBB"/>
    <w:rsid w:val="007C015E"/>
    <w:rsid w:val="007C06C6"/>
    <w:rsid w:val="007C2182"/>
    <w:rsid w:val="007C3850"/>
    <w:rsid w:val="007C5E4F"/>
    <w:rsid w:val="007C61EA"/>
    <w:rsid w:val="007C6527"/>
    <w:rsid w:val="007C65B4"/>
    <w:rsid w:val="007C6A58"/>
    <w:rsid w:val="007C7680"/>
    <w:rsid w:val="007D035E"/>
    <w:rsid w:val="007D0C60"/>
    <w:rsid w:val="007D1DDF"/>
    <w:rsid w:val="007D35B0"/>
    <w:rsid w:val="007D3A61"/>
    <w:rsid w:val="007D56D2"/>
    <w:rsid w:val="007D5B4B"/>
    <w:rsid w:val="007D5FE5"/>
    <w:rsid w:val="007D7B08"/>
    <w:rsid w:val="007E11E8"/>
    <w:rsid w:val="007E23E0"/>
    <w:rsid w:val="007E2EE2"/>
    <w:rsid w:val="007E3A89"/>
    <w:rsid w:val="007E3F48"/>
    <w:rsid w:val="007E4F5A"/>
    <w:rsid w:val="007E51B8"/>
    <w:rsid w:val="007E56E6"/>
    <w:rsid w:val="007E70BD"/>
    <w:rsid w:val="007E71EC"/>
    <w:rsid w:val="007F0BE1"/>
    <w:rsid w:val="007F2E02"/>
    <w:rsid w:val="007F3365"/>
    <w:rsid w:val="007F401B"/>
    <w:rsid w:val="007F4BB6"/>
    <w:rsid w:val="007F51F4"/>
    <w:rsid w:val="007F53AD"/>
    <w:rsid w:val="007F6FBD"/>
    <w:rsid w:val="007F7385"/>
    <w:rsid w:val="007F7DDE"/>
    <w:rsid w:val="0080042D"/>
    <w:rsid w:val="00800DE1"/>
    <w:rsid w:val="0080184F"/>
    <w:rsid w:val="00801F94"/>
    <w:rsid w:val="008029FD"/>
    <w:rsid w:val="0080424B"/>
    <w:rsid w:val="0080455B"/>
    <w:rsid w:val="00804F50"/>
    <w:rsid w:val="00805448"/>
    <w:rsid w:val="008065C4"/>
    <w:rsid w:val="00806B43"/>
    <w:rsid w:val="008078B4"/>
    <w:rsid w:val="00807AD1"/>
    <w:rsid w:val="00810500"/>
    <w:rsid w:val="00810CCD"/>
    <w:rsid w:val="00811555"/>
    <w:rsid w:val="00811B8B"/>
    <w:rsid w:val="008122DE"/>
    <w:rsid w:val="00813E95"/>
    <w:rsid w:val="00814122"/>
    <w:rsid w:val="00815EDB"/>
    <w:rsid w:val="00816637"/>
    <w:rsid w:val="0081708B"/>
    <w:rsid w:val="008171EC"/>
    <w:rsid w:val="00817771"/>
    <w:rsid w:val="0082193B"/>
    <w:rsid w:val="00822812"/>
    <w:rsid w:val="00823190"/>
    <w:rsid w:val="00823975"/>
    <w:rsid w:val="00823990"/>
    <w:rsid w:val="00823F3A"/>
    <w:rsid w:val="008243BA"/>
    <w:rsid w:val="00825276"/>
    <w:rsid w:val="00825282"/>
    <w:rsid w:val="00825C51"/>
    <w:rsid w:val="00826A95"/>
    <w:rsid w:val="008273B5"/>
    <w:rsid w:val="00831262"/>
    <w:rsid w:val="008326F6"/>
    <w:rsid w:val="008327A5"/>
    <w:rsid w:val="00833351"/>
    <w:rsid w:val="008338FE"/>
    <w:rsid w:val="0083418C"/>
    <w:rsid w:val="008344C0"/>
    <w:rsid w:val="00834EA5"/>
    <w:rsid w:val="00835630"/>
    <w:rsid w:val="0083594C"/>
    <w:rsid w:val="00837198"/>
    <w:rsid w:val="008378BD"/>
    <w:rsid w:val="008425B0"/>
    <w:rsid w:val="00843E5C"/>
    <w:rsid w:val="008441F9"/>
    <w:rsid w:val="00845070"/>
    <w:rsid w:val="00845917"/>
    <w:rsid w:val="0084682F"/>
    <w:rsid w:val="00846A05"/>
    <w:rsid w:val="0085007C"/>
    <w:rsid w:val="00850BFE"/>
    <w:rsid w:val="00851C6C"/>
    <w:rsid w:val="00851E1D"/>
    <w:rsid w:val="008520EB"/>
    <w:rsid w:val="00855410"/>
    <w:rsid w:val="00861826"/>
    <w:rsid w:val="00861E51"/>
    <w:rsid w:val="008625B5"/>
    <w:rsid w:val="00862C4A"/>
    <w:rsid w:val="00863202"/>
    <w:rsid w:val="00863259"/>
    <w:rsid w:val="00863C79"/>
    <w:rsid w:val="00863DCF"/>
    <w:rsid w:val="0086452B"/>
    <w:rsid w:val="00864A98"/>
    <w:rsid w:val="00865FCF"/>
    <w:rsid w:val="0086609E"/>
    <w:rsid w:val="008660AF"/>
    <w:rsid w:val="008660C0"/>
    <w:rsid w:val="0086639F"/>
    <w:rsid w:val="00867377"/>
    <w:rsid w:val="008677E4"/>
    <w:rsid w:val="0087098C"/>
    <w:rsid w:val="0087440B"/>
    <w:rsid w:val="0087515B"/>
    <w:rsid w:val="008761C9"/>
    <w:rsid w:val="00877D48"/>
    <w:rsid w:val="00880281"/>
    <w:rsid w:val="00880D44"/>
    <w:rsid w:val="00882906"/>
    <w:rsid w:val="0088366F"/>
    <w:rsid w:val="008839BF"/>
    <w:rsid w:val="0088477F"/>
    <w:rsid w:val="008856A1"/>
    <w:rsid w:val="00885D23"/>
    <w:rsid w:val="00886388"/>
    <w:rsid w:val="00886BBD"/>
    <w:rsid w:val="00887E84"/>
    <w:rsid w:val="0089162E"/>
    <w:rsid w:val="00891B65"/>
    <w:rsid w:val="00892413"/>
    <w:rsid w:val="0089366F"/>
    <w:rsid w:val="00893739"/>
    <w:rsid w:val="00893880"/>
    <w:rsid w:val="00893DC6"/>
    <w:rsid w:val="00895054"/>
    <w:rsid w:val="00895D7A"/>
    <w:rsid w:val="00897A2B"/>
    <w:rsid w:val="008A076D"/>
    <w:rsid w:val="008A0BD3"/>
    <w:rsid w:val="008A0C0D"/>
    <w:rsid w:val="008A1581"/>
    <w:rsid w:val="008A2646"/>
    <w:rsid w:val="008A3C43"/>
    <w:rsid w:val="008A42F1"/>
    <w:rsid w:val="008A4549"/>
    <w:rsid w:val="008A473A"/>
    <w:rsid w:val="008A48BC"/>
    <w:rsid w:val="008A494E"/>
    <w:rsid w:val="008A49D1"/>
    <w:rsid w:val="008A4E21"/>
    <w:rsid w:val="008A66AF"/>
    <w:rsid w:val="008A676D"/>
    <w:rsid w:val="008A706C"/>
    <w:rsid w:val="008A7C14"/>
    <w:rsid w:val="008B0679"/>
    <w:rsid w:val="008B169F"/>
    <w:rsid w:val="008B2B62"/>
    <w:rsid w:val="008B3128"/>
    <w:rsid w:val="008B3C61"/>
    <w:rsid w:val="008B4037"/>
    <w:rsid w:val="008B5321"/>
    <w:rsid w:val="008B5A59"/>
    <w:rsid w:val="008B5BEF"/>
    <w:rsid w:val="008B6E31"/>
    <w:rsid w:val="008B7DE3"/>
    <w:rsid w:val="008C16F4"/>
    <w:rsid w:val="008C19F5"/>
    <w:rsid w:val="008C1CAE"/>
    <w:rsid w:val="008C4EF9"/>
    <w:rsid w:val="008C551C"/>
    <w:rsid w:val="008C652E"/>
    <w:rsid w:val="008C65E1"/>
    <w:rsid w:val="008D054A"/>
    <w:rsid w:val="008D061B"/>
    <w:rsid w:val="008D0875"/>
    <w:rsid w:val="008D0F8C"/>
    <w:rsid w:val="008D1964"/>
    <w:rsid w:val="008D1B36"/>
    <w:rsid w:val="008D491D"/>
    <w:rsid w:val="008D4C07"/>
    <w:rsid w:val="008D4FBB"/>
    <w:rsid w:val="008D5139"/>
    <w:rsid w:val="008D5254"/>
    <w:rsid w:val="008D5348"/>
    <w:rsid w:val="008D5DAF"/>
    <w:rsid w:val="008D6565"/>
    <w:rsid w:val="008E01AE"/>
    <w:rsid w:val="008E01BA"/>
    <w:rsid w:val="008E2B43"/>
    <w:rsid w:val="008E2D34"/>
    <w:rsid w:val="008E3B56"/>
    <w:rsid w:val="008E463E"/>
    <w:rsid w:val="008E4B6D"/>
    <w:rsid w:val="008E655D"/>
    <w:rsid w:val="008E6C86"/>
    <w:rsid w:val="008E784C"/>
    <w:rsid w:val="008F0D9C"/>
    <w:rsid w:val="008F1C45"/>
    <w:rsid w:val="008F1ED8"/>
    <w:rsid w:val="008F2AAD"/>
    <w:rsid w:val="008F317B"/>
    <w:rsid w:val="008F45ED"/>
    <w:rsid w:val="008F55E7"/>
    <w:rsid w:val="008F5F26"/>
    <w:rsid w:val="0090074C"/>
    <w:rsid w:val="00900A3E"/>
    <w:rsid w:val="009012AD"/>
    <w:rsid w:val="009022A2"/>
    <w:rsid w:val="00904DAA"/>
    <w:rsid w:val="00904E4A"/>
    <w:rsid w:val="009058EE"/>
    <w:rsid w:val="009060CF"/>
    <w:rsid w:val="00906955"/>
    <w:rsid w:val="009073D0"/>
    <w:rsid w:val="0091109F"/>
    <w:rsid w:val="0091189A"/>
    <w:rsid w:val="009124B7"/>
    <w:rsid w:val="00913DB3"/>
    <w:rsid w:val="009146E2"/>
    <w:rsid w:val="009147DC"/>
    <w:rsid w:val="009159EC"/>
    <w:rsid w:val="009173B5"/>
    <w:rsid w:val="00917C71"/>
    <w:rsid w:val="0092108F"/>
    <w:rsid w:val="0092128D"/>
    <w:rsid w:val="0092175D"/>
    <w:rsid w:val="00922A03"/>
    <w:rsid w:val="00922B0D"/>
    <w:rsid w:val="0092357A"/>
    <w:rsid w:val="009239C4"/>
    <w:rsid w:val="009240CD"/>
    <w:rsid w:val="009257E5"/>
    <w:rsid w:val="00925C7D"/>
    <w:rsid w:val="00927BBA"/>
    <w:rsid w:val="00927CE9"/>
    <w:rsid w:val="00930271"/>
    <w:rsid w:val="00930A56"/>
    <w:rsid w:val="00930DEC"/>
    <w:rsid w:val="00932298"/>
    <w:rsid w:val="009328FB"/>
    <w:rsid w:val="009342DC"/>
    <w:rsid w:val="0093486A"/>
    <w:rsid w:val="00936663"/>
    <w:rsid w:val="0093722D"/>
    <w:rsid w:val="009402E6"/>
    <w:rsid w:val="00940A70"/>
    <w:rsid w:val="00941E82"/>
    <w:rsid w:val="00942E55"/>
    <w:rsid w:val="009450E7"/>
    <w:rsid w:val="009456FE"/>
    <w:rsid w:val="00945C4B"/>
    <w:rsid w:val="00947AC5"/>
    <w:rsid w:val="00947B71"/>
    <w:rsid w:val="00947C87"/>
    <w:rsid w:val="00950A12"/>
    <w:rsid w:val="009519C8"/>
    <w:rsid w:val="00952CA6"/>
    <w:rsid w:val="009533F8"/>
    <w:rsid w:val="00953BDD"/>
    <w:rsid w:val="009540BF"/>
    <w:rsid w:val="00954E72"/>
    <w:rsid w:val="00955B10"/>
    <w:rsid w:val="00956D51"/>
    <w:rsid w:val="00956F89"/>
    <w:rsid w:val="009579E2"/>
    <w:rsid w:val="00961869"/>
    <w:rsid w:val="00961B3F"/>
    <w:rsid w:val="00962CE0"/>
    <w:rsid w:val="0096355E"/>
    <w:rsid w:val="00965237"/>
    <w:rsid w:val="00965388"/>
    <w:rsid w:val="00967749"/>
    <w:rsid w:val="009677F8"/>
    <w:rsid w:val="00972F8B"/>
    <w:rsid w:val="00973EF0"/>
    <w:rsid w:val="00974237"/>
    <w:rsid w:val="009749F4"/>
    <w:rsid w:val="00975941"/>
    <w:rsid w:val="00980B21"/>
    <w:rsid w:val="009811B6"/>
    <w:rsid w:val="0098135B"/>
    <w:rsid w:val="0098186C"/>
    <w:rsid w:val="00981F2B"/>
    <w:rsid w:val="00982D20"/>
    <w:rsid w:val="00983AB7"/>
    <w:rsid w:val="00984484"/>
    <w:rsid w:val="00984696"/>
    <w:rsid w:val="0098479E"/>
    <w:rsid w:val="00990712"/>
    <w:rsid w:val="00990D37"/>
    <w:rsid w:val="00991CFE"/>
    <w:rsid w:val="009923C6"/>
    <w:rsid w:val="009945E6"/>
    <w:rsid w:val="00994DC2"/>
    <w:rsid w:val="0099520B"/>
    <w:rsid w:val="00995D60"/>
    <w:rsid w:val="00995F2F"/>
    <w:rsid w:val="009961F5"/>
    <w:rsid w:val="009974E0"/>
    <w:rsid w:val="00997B1B"/>
    <w:rsid w:val="00997C71"/>
    <w:rsid w:val="009A0A67"/>
    <w:rsid w:val="009A2135"/>
    <w:rsid w:val="009A2A81"/>
    <w:rsid w:val="009A4D32"/>
    <w:rsid w:val="009A6DC8"/>
    <w:rsid w:val="009A79EB"/>
    <w:rsid w:val="009B0273"/>
    <w:rsid w:val="009B2322"/>
    <w:rsid w:val="009B2CDE"/>
    <w:rsid w:val="009B2FA7"/>
    <w:rsid w:val="009B3999"/>
    <w:rsid w:val="009B3CD0"/>
    <w:rsid w:val="009B4047"/>
    <w:rsid w:val="009B4A0B"/>
    <w:rsid w:val="009B4F03"/>
    <w:rsid w:val="009B5951"/>
    <w:rsid w:val="009B6FCE"/>
    <w:rsid w:val="009B7E02"/>
    <w:rsid w:val="009C0F33"/>
    <w:rsid w:val="009C3112"/>
    <w:rsid w:val="009C5725"/>
    <w:rsid w:val="009C6771"/>
    <w:rsid w:val="009C6A67"/>
    <w:rsid w:val="009C7B29"/>
    <w:rsid w:val="009D035C"/>
    <w:rsid w:val="009D0A80"/>
    <w:rsid w:val="009D0CD5"/>
    <w:rsid w:val="009D1971"/>
    <w:rsid w:val="009D1AE7"/>
    <w:rsid w:val="009D3465"/>
    <w:rsid w:val="009D5830"/>
    <w:rsid w:val="009D6BE8"/>
    <w:rsid w:val="009D728B"/>
    <w:rsid w:val="009D77EA"/>
    <w:rsid w:val="009D789F"/>
    <w:rsid w:val="009E0019"/>
    <w:rsid w:val="009E0D2F"/>
    <w:rsid w:val="009E17C8"/>
    <w:rsid w:val="009E2533"/>
    <w:rsid w:val="009E312C"/>
    <w:rsid w:val="009E34E8"/>
    <w:rsid w:val="009E4621"/>
    <w:rsid w:val="009E467F"/>
    <w:rsid w:val="009E5683"/>
    <w:rsid w:val="009E581A"/>
    <w:rsid w:val="009E6ABB"/>
    <w:rsid w:val="009E73A0"/>
    <w:rsid w:val="009F07DE"/>
    <w:rsid w:val="009F0C76"/>
    <w:rsid w:val="009F0FA1"/>
    <w:rsid w:val="009F1354"/>
    <w:rsid w:val="009F2CC6"/>
    <w:rsid w:val="009F4497"/>
    <w:rsid w:val="009F6312"/>
    <w:rsid w:val="00A01DED"/>
    <w:rsid w:val="00A034D2"/>
    <w:rsid w:val="00A05681"/>
    <w:rsid w:val="00A05E1D"/>
    <w:rsid w:val="00A064BC"/>
    <w:rsid w:val="00A07268"/>
    <w:rsid w:val="00A07F68"/>
    <w:rsid w:val="00A104FA"/>
    <w:rsid w:val="00A11904"/>
    <w:rsid w:val="00A16297"/>
    <w:rsid w:val="00A16774"/>
    <w:rsid w:val="00A16813"/>
    <w:rsid w:val="00A17B55"/>
    <w:rsid w:val="00A21CEB"/>
    <w:rsid w:val="00A226A7"/>
    <w:rsid w:val="00A23EE0"/>
    <w:rsid w:val="00A24FD4"/>
    <w:rsid w:val="00A2551A"/>
    <w:rsid w:val="00A2552F"/>
    <w:rsid w:val="00A25F58"/>
    <w:rsid w:val="00A2634D"/>
    <w:rsid w:val="00A2743E"/>
    <w:rsid w:val="00A276F1"/>
    <w:rsid w:val="00A305B7"/>
    <w:rsid w:val="00A30632"/>
    <w:rsid w:val="00A32986"/>
    <w:rsid w:val="00A33430"/>
    <w:rsid w:val="00A33882"/>
    <w:rsid w:val="00A33C65"/>
    <w:rsid w:val="00A3581D"/>
    <w:rsid w:val="00A3588E"/>
    <w:rsid w:val="00A367C7"/>
    <w:rsid w:val="00A37386"/>
    <w:rsid w:val="00A374FC"/>
    <w:rsid w:val="00A40B10"/>
    <w:rsid w:val="00A423A4"/>
    <w:rsid w:val="00A4242A"/>
    <w:rsid w:val="00A42770"/>
    <w:rsid w:val="00A42A33"/>
    <w:rsid w:val="00A437E2"/>
    <w:rsid w:val="00A449A3"/>
    <w:rsid w:val="00A461FF"/>
    <w:rsid w:val="00A4632F"/>
    <w:rsid w:val="00A46A4B"/>
    <w:rsid w:val="00A47B1F"/>
    <w:rsid w:val="00A47F5A"/>
    <w:rsid w:val="00A512B7"/>
    <w:rsid w:val="00A5556F"/>
    <w:rsid w:val="00A562E7"/>
    <w:rsid w:val="00A572E5"/>
    <w:rsid w:val="00A5737C"/>
    <w:rsid w:val="00A57CD5"/>
    <w:rsid w:val="00A62100"/>
    <w:rsid w:val="00A632E7"/>
    <w:rsid w:val="00A64409"/>
    <w:rsid w:val="00A64E88"/>
    <w:rsid w:val="00A655B7"/>
    <w:rsid w:val="00A66293"/>
    <w:rsid w:val="00A67FB1"/>
    <w:rsid w:val="00A711D8"/>
    <w:rsid w:val="00A712B9"/>
    <w:rsid w:val="00A71666"/>
    <w:rsid w:val="00A718E3"/>
    <w:rsid w:val="00A71BE2"/>
    <w:rsid w:val="00A72D15"/>
    <w:rsid w:val="00A7317E"/>
    <w:rsid w:val="00A748CA"/>
    <w:rsid w:val="00A74A20"/>
    <w:rsid w:val="00A76934"/>
    <w:rsid w:val="00A77051"/>
    <w:rsid w:val="00A80931"/>
    <w:rsid w:val="00A80C95"/>
    <w:rsid w:val="00A80DB2"/>
    <w:rsid w:val="00A8207E"/>
    <w:rsid w:val="00A82C5A"/>
    <w:rsid w:val="00A83A20"/>
    <w:rsid w:val="00A8529C"/>
    <w:rsid w:val="00A8667B"/>
    <w:rsid w:val="00A873C2"/>
    <w:rsid w:val="00A9044B"/>
    <w:rsid w:val="00A90D89"/>
    <w:rsid w:val="00A90EC5"/>
    <w:rsid w:val="00A9151E"/>
    <w:rsid w:val="00A91596"/>
    <w:rsid w:val="00A92819"/>
    <w:rsid w:val="00A92B33"/>
    <w:rsid w:val="00A93905"/>
    <w:rsid w:val="00A94B03"/>
    <w:rsid w:val="00A95752"/>
    <w:rsid w:val="00A95B38"/>
    <w:rsid w:val="00A96C90"/>
    <w:rsid w:val="00A97832"/>
    <w:rsid w:val="00AA03CE"/>
    <w:rsid w:val="00AA1FD8"/>
    <w:rsid w:val="00AA21C7"/>
    <w:rsid w:val="00AA26A4"/>
    <w:rsid w:val="00AA27E4"/>
    <w:rsid w:val="00AA4844"/>
    <w:rsid w:val="00AA6BA9"/>
    <w:rsid w:val="00AB0B5F"/>
    <w:rsid w:val="00AB2FBC"/>
    <w:rsid w:val="00AB3EA5"/>
    <w:rsid w:val="00AB4519"/>
    <w:rsid w:val="00AB4C0C"/>
    <w:rsid w:val="00AB6CEA"/>
    <w:rsid w:val="00AB71BF"/>
    <w:rsid w:val="00AC02B9"/>
    <w:rsid w:val="00AC02E3"/>
    <w:rsid w:val="00AC0356"/>
    <w:rsid w:val="00AC07D6"/>
    <w:rsid w:val="00AC13A9"/>
    <w:rsid w:val="00AC1CC9"/>
    <w:rsid w:val="00AC240A"/>
    <w:rsid w:val="00AC242D"/>
    <w:rsid w:val="00AC2712"/>
    <w:rsid w:val="00AC2E78"/>
    <w:rsid w:val="00AC34D2"/>
    <w:rsid w:val="00AC3956"/>
    <w:rsid w:val="00AC432E"/>
    <w:rsid w:val="00AC59C5"/>
    <w:rsid w:val="00AC5A53"/>
    <w:rsid w:val="00AC5FC2"/>
    <w:rsid w:val="00AC64D0"/>
    <w:rsid w:val="00AC722D"/>
    <w:rsid w:val="00AC760C"/>
    <w:rsid w:val="00AC7C29"/>
    <w:rsid w:val="00AD04B2"/>
    <w:rsid w:val="00AD1B09"/>
    <w:rsid w:val="00AD1DDA"/>
    <w:rsid w:val="00AD2391"/>
    <w:rsid w:val="00AD5919"/>
    <w:rsid w:val="00AD5E0F"/>
    <w:rsid w:val="00AD673F"/>
    <w:rsid w:val="00AD6F87"/>
    <w:rsid w:val="00AD7154"/>
    <w:rsid w:val="00AE082F"/>
    <w:rsid w:val="00AE0982"/>
    <w:rsid w:val="00AE26EC"/>
    <w:rsid w:val="00AE279B"/>
    <w:rsid w:val="00AE3595"/>
    <w:rsid w:val="00AE4FF6"/>
    <w:rsid w:val="00AE5464"/>
    <w:rsid w:val="00AE7D9D"/>
    <w:rsid w:val="00AF0F55"/>
    <w:rsid w:val="00AF113B"/>
    <w:rsid w:val="00AF1923"/>
    <w:rsid w:val="00AF257C"/>
    <w:rsid w:val="00AF28F0"/>
    <w:rsid w:val="00AF2B09"/>
    <w:rsid w:val="00AF386D"/>
    <w:rsid w:val="00AF4A8C"/>
    <w:rsid w:val="00B0061F"/>
    <w:rsid w:val="00B00B7D"/>
    <w:rsid w:val="00B01445"/>
    <w:rsid w:val="00B01FF8"/>
    <w:rsid w:val="00B02A69"/>
    <w:rsid w:val="00B03892"/>
    <w:rsid w:val="00B041C6"/>
    <w:rsid w:val="00B04577"/>
    <w:rsid w:val="00B05143"/>
    <w:rsid w:val="00B066B4"/>
    <w:rsid w:val="00B10B34"/>
    <w:rsid w:val="00B11C5F"/>
    <w:rsid w:val="00B12258"/>
    <w:rsid w:val="00B1291C"/>
    <w:rsid w:val="00B12D84"/>
    <w:rsid w:val="00B136E8"/>
    <w:rsid w:val="00B13E04"/>
    <w:rsid w:val="00B14D33"/>
    <w:rsid w:val="00B16098"/>
    <w:rsid w:val="00B17382"/>
    <w:rsid w:val="00B1790E"/>
    <w:rsid w:val="00B20520"/>
    <w:rsid w:val="00B2059B"/>
    <w:rsid w:val="00B20A98"/>
    <w:rsid w:val="00B21256"/>
    <w:rsid w:val="00B2219B"/>
    <w:rsid w:val="00B225F8"/>
    <w:rsid w:val="00B22CAA"/>
    <w:rsid w:val="00B234A4"/>
    <w:rsid w:val="00B23715"/>
    <w:rsid w:val="00B24188"/>
    <w:rsid w:val="00B24975"/>
    <w:rsid w:val="00B24AF3"/>
    <w:rsid w:val="00B25054"/>
    <w:rsid w:val="00B2511B"/>
    <w:rsid w:val="00B26747"/>
    <w:rsid w:val="00B2698A"/>
    <w:rsid w:val="00B27B4D"/>
    <w:rsid w:val="00B27EA8"/>
    <w:rsid w:val="00B30D0C"/>
    <w:rsid w:val="00B3172A"/>
    <w:rsid w:val="00B31B9E"/>
    <w:rsid w:val="00B31E96"/>
    <w:rsid w:val="00B32227"/>
    <w:rsid w:val="00B36318"/>
    <w:rsid w:val="00B37CF3"/>
    <w:rsid w:val="00B4051D"/>
    <w:rsid w:val="00B418E4"/>
    <w:rsid w:val="00B41CE2"/>
    <w:rsid w:val="00B425B6"/>
    <w:rsid w:val="00B42B64"/>
    <w:rsid w:val="00B43621"/>
    <w:rsid w:val="00B43BE6"/>
    <w:rsid w:val="00B43E90"/>
    <w:rsid w:val="00B44D8A"/>
    <w:rsid w:val="00B45937"/>
    <w:rsid w:val="00B45BE4"/>
    <w:rsid w:val="00B46A3F"/>
    <w:rsid w:val="00B46FB0"/>
    <w:rsid w:val="00B47864"/>
    <w:rsid w:val="00B47CC1"/>
    <w:rsid w:val="00B508B5"/>
    <w:rsid w:val="00B50939"/>
    <w:rsid w:val="00B50E79"/>
    <w:rsid w:val="00B510A8"/>
    <w:rsid w:val="00B52288"/>
    <w:rsid w:val="00B52CF0"/>
    <w:rsid w:val="00B52F66"/>
    <w:rsid w:val="00B5399A"/>
    <w:rsid w:val="00B53F6D"/>
    <w:rsid w:val="00B5553B"/>
    <w:rsid w:val="00B5562C"/>
    <w:rsid w:val="00B55A83"/>
    <w:rsid w:val="00B560FC"/>
    <w:rsid w:val="00B56DB6"/>
    <w:rsid w:val="00B5719E"/>
    <w:rsid w:val="00B60E1C"/>
    <w:rsid w:val="00B611BA"/>
    <w:rsid w:val="00B640AD"/>
    <w:rsid w:val="00B65978"/>
    <w:rsid w:val="00B66013"/>
    <w:rsid w:val="00B664C7"/>
    <w:rsid w:val="00B6728F"/>
    <w:rsid w:val="00B7012A"/>
    <w:rsid w:val="00B7059D"/>
    <w:rsid w:val="00B70BCE"/>
    <w:rsid w:val="00B7159A"/>
    <w:rsid w:val="00B72227"/>
    <w:rsid w:val="00B722D6"/>
    <w:rsid w:val="00B725DD"/>
    <w:rsid w:val="00B734E3"/>
    <w:rsid w:val="00B73709"/>
    <w:rsid w:val="00B7472F"/>
    <w:rsid w:val="00B766E0"/>
    <w:rsid w:val="00B80812"/>
    <w:rsid w:val="00B818C4"/>
    <w:rsid w:val="00B81B86"/>
    <w:rsid w:val="00B825C3"/>
    <w:rsid w:val="00B8392D"/>
    <w:rsid w:val="00B83DF9"/>
    <w:rsid w:val="00B842F8"/>
    <w:rsid w:val="00B8436A"/>
    <w:rsid w:val="00B84475"/>
    <w:rsid w:val="00B85254"/>
    <w:rsid w:val="00B864E3"/>
    <w:rsid w:val="00B864E7"/>
    <w:rsid w:val="00B86F20"/>
    <w:rsid w:val="00B871E5"/>
    <w:rsid w:val="00B875F2"/>
    <w:rsid w:val="00B876A9"/>
    <w:rsid w:val="00B8772C"/>
    <w:rsid w:val="00B87CC9"/>
    <w:rsid w:val="00B90526"/>
    <w:rsid w:val="00B90A4A"/>
    <w:rsid w:val="00B90E12"/>
    <w:rsid w:val="00B91A07"/>
    <w:rsid w:val="00B924A7"/>
    <w:rsid w:val="00B94667"/>
    <w:rsid w:val="00B94CB1"/>
    <w:rsid w:val="00B960F9"/>
    <w:rsid w:val="00B963A9"/>
    <w:rsid w:val="00B963E8"/>
    <w:rsid w:val="00B97468"/>
    <w:rsid w:val="00BA0359"/>
    <w:rsid w:val="00BA11F9"/>
    <w:rsid w:val="00BA14D3"/>
    <w:rsid w:val="00BA17AB"/>
    <w:rsid w:val="00BA29E0"/>
    <w:rsid w:val="00BA3F66"/>
    <w:rsid w:val="00BA41EF"/>
    <w:rsid w:val="00BA4721"/>
    <w:rsid w:val="00BA5098"/>
    <w:rsid w:val="00BA5564"/>
    <w:rsid w:val="00BA59FC"/>
    <w:rsid w:val="00BA5C9F"/>
    <w:rsid w:val="00BA668E"/>
    <w:rsid w:val="00BA6B04"/>
    <w:rsid w:val="00BA76CE"/>
    <w:rsid w:val="00BA7B9D"/>
    <w:rsid w:val="00BB0BC9"/>
    <w:rsid w:val="00BB159C"/>
    <w:rsid w:val="00BB1B83"/>
    <w:rsid w:val="00BB1CFC"/>
    <w:rsid w:val="00BB1E66"/>
    <w:rsid w:val="00BB4798"/>
    <w:rsid w:val="00BB4FC5"/>
    <w:rsid w:val="00BB54E8"/>
    <w:rsid w:val="00BB58D1"/>
    <w:rsid w:val="00BB6C78"/>
    <w:rsid w:val="00BB7B0B"/>
    <w:rsid w:val="00BC096A"/>
    <w:rsid w:val="00BC1CEC"/>
    <w:rsid w:val="00BC323E"/>
    <w:rsid w:val="00BC44EF"/>
    <w:rsid w:val="00BC484F"/>
    <w:rsid w:val="00BC50DA"/>
    <w:rsid w:val="00BC56BF"/>
    <w:rsid w:val="00BC56CA"/>
    <w:rsid w:val="00BC6BF9"/>
    <w:rsid w:val="00BC6D27"/>
    <w:rsid w:val="00BC710C"/>
    <w:rsid w:val="00BC7310"/>
    <w:rsid w:val="00BD2D2E"/>
    <w:rsid w:val="00BD35EF"/>
    <w:rsid w:val="00BD39D6"/>
    <w:rsid w:val="00BD39E3"/>
    <w:rsid w:val="00BD55D7"/>
    <w:rsid w:val="00BD562E"/>
    <w:rsid w:val="00BD57C4"/>
    <w:rsid w:val="00BD5A04"/>
    <w:rsid w:val="00BD5B69"/>
    <w:rsid w:val="00BD5B7F"/>
    <w:rsid w:val="00BE052B"/>
    <w:rsid w:val="00BE0EBA"/>
    <w:rsid w:val="00BE10A5"/>
    <w:rsid w:val="00BE18EA"/>
    <w:rsid w:val="00BE2E23"/>
    <w:rsid w:val="00BE2F9E"/>
    <w:rsid w:val="00BE53A8"/>
    <w:rsid w:val="00BE5D43"/>
    <w:rsid w:val="00BE6EA8"/>
    <w:rsid w:val="00BE7AD4"/>
    <w:rsid w:val="00BF111D"/>
    <w:rsid w:val="00BF1D9B"/>
    <w:rsid w:val="00BF458A"/>
    <w:rsid w:val="00BF4632"/>
    <w:rsid w:val="00BF4835"/>
    <w:rsid w:val="00BF4FE2"/>
    <w:rsid w:val="00BF6A99"/>
    <w:rsid w:val="00C00433"/>
    <w:rsid w:val="00C006E9"/>
    <w:rsid w:val="00C0077E"/>
    <w:rsid w:val="00C01C16"/>
    <w:rsid w:val="00C02582"/>
    <w:rsid w:val="00C02BE9"/>
    <w:rsid w:val="00C02E80"/>
    <w:rsid w:val="00C0324F"/>
    <w:rsid w:val="00C042BB"/>
    <w:rsid w:val="00C042EF"/>
    <w:rsid w:val="00C04C88"/>
    <w:rsid w:val="00C06E77"/>
    <w:rsid w:val="00C072EB"/>
    <w:rsid w:val="00C1126B"/>
    <w:rsid w:val="00C1150C"/>
    <w:rsid w:val="00C116C8"/>
    <w:rsid w:val="00C12C7C"/>
    <w:rsid w:val="00C137D2"/>
    <w:rsid w:val="00C13929"/>
    <w:rsid w:val="00C17D3D"/>
    <w:rsid w:val="00C207DF"/>
    <w:rsid w:val="00C20817"/>
    <w:rsid w:val="00C20D48"/>
    <w:rsid w:val="00C210E3"/>
    <w:rsid w:val="00C21BCF"/>
    <w:rsid w:val="00C2235B"/>
    <w:rsid w:val="00C24988"/>
    <w:rsid w:val="00C249A4"/>
    <w:rsid w:val="00C24B80"/>
    <w:rsid w:val="00C25D49"/>
    <w:rsid w:val="00C26117"/>
    <w:rsid w:val="00C266DC"/>
    <w:rsid w:val="00C26C27"/>
    <w:rsid w:val="00C26D88"/>
    <w:rsid w:val="00C26F86"/>
    <w:rsid w:val="00C30B04"/>
    <w:rsid w:val="00C31A67"/>
    <w:rsid w:val="00C31C1A"/>
    <w:rsid w:val="00C32529"/>
    <w:rsid w:val="00C350C5"/>
    <w:rsid w:val="00C3641C"/>
    <w:rsid w:val="00C36900"/>
    <w:rsid w:val="00C36DB0"/>
    <w:rsid w:val="00C373B4"/>
    <w:rsid w:val="00C40444"/>
    <w:rsid w:val="00C419A7"/>
    <w:rsid w:val="00C43307"/>
    <w:rsid w:val="00C4390A"/>
    <w:rsid w:val="00C43EE5"/>
    <w:rsid w:val="00C44FB7"/>
    <w:rsid w:val="00C472D7"/>
    <w:rsid w:val="00C50AFC"/>
    <w:rsid w:val="00C512B3"/>
    <w:rsid w:val="00C52387"/>
    <w:rsid w:val="00C531AC"/>
    <w:rsid w:val="00C5458A"/>
    <w:rsid w:val="00C5661E"/>
    <w:rsid w:val="00C61331"/>
    <w:rsid w:val="00C61CF6"/>
    <w:rsid w:val="00C6227D"/>
    <w:rsid w:val="00C623AA"/>
    <w:rsid w:val="00C62788"/>
    <w:rsid w:val="00C634F9"/>
    <w:rsid w:val="00C6474C"/>
    <w:rsid w:val="00C64867"/>
    <w:rsid w:val="00C65ADA"/>
    <w:rsid w:val="00C65E02"/>
    <w:rsid w:val="00C65FD9"/>
    <w:rsid w:val="00C715B3"/>
    <w:rsid w:val="00C71D47"/>
    <w:rsid w:val="00C721E1"/>
    <w:rsid w:val="00C7407E"/>
    <w:rsid w:val="00C74ABF"/>
    <w:rsid w:val="00C75C61"/>
    <w:rsid w:val="00C760B1"/>
    <w:rsid w:val="00C7646D"/>
    <w:rsid w:val="00C76508"/>
    <w:rsid w:val="00C77310"/>
    <w:rsid w:val="00C77CEF"/>
    <w:rsid w:val="00C8004E"/>
    <w:rsid w:val="00C82843"/>
    <w:rsid w:val="00C831D4"/>
    <w:rsid w:val="00C83809"/>
    <w:rsid w:val="00C85A27"/>
    <w:rsid w:val="00C85BE6"/>
    <w:rsid w:val="00C86C61"/>
    <w:rsid w:val="00C870A3"/>
    <w:rsid w:val="00C87EA4"/>
    <w:rsid w:val="00C912E9"/>
    <w:rsid w:val="00C91495"/>
    <w:rsid w:val="00C926B9"/>
    <w:rsid w:val="00C92A55"/>
    <w:rsid w:val="00C92B0F"/>
    <w:rsid w:val="00C9449F"/>
    <w:rsid w:val="00C955D9"/>
    <w:rsid w:val="00C96496"/>
    <w:rsid w:val="00C970E8"/>
    <w:rsid w:val="00C97DD6"/>
    <w:rsid w:val="00CA1F06"/>
    <w:rsid w:val="00CA2308"/>
    <w:rsid w:val="00CA27A8"/>
    <w:rsid w:val="00CA3038"/>
    <w:rsid w:val="00CA47E4"/>
    <w:rsid w:val="00CA5DA3"/>
    <w:rsid w:val="00CA6C46"/>
    <w:rsid w:val="00CA7747"/>
    <w:rsid w:val="00CB0092"/>
    <w:rsid w:val="00CB0FCA"/>
    <w:rsid w:val="00CB1ADA"/>
    <w:rsid w:val="00CB1CF8"/>
    <w:rsid w:val="00CB28F9"/>
    <w:rsid w:val="00CB446E"/>
    <w:rsid w:val="00CB47E6"/>
    <w:rsid w:val="00CB5909"/>
    <w:rsid w:val="00CB5959"/>
    <w:rsid w:val="00CB6151"/>
    <w:rsid w:val="00CB793D"/>
    <w:rsid w:val="00CB7B93"/>
    <w:rsid w:val="00CB7EC9"/>
    <w:rsid w:val="00CB7FB6"/>
    <w:rsid w:val="00CC000B"/>
    <w:rsid w:val="00CC0028"/>
    <w:rsid w:val="00CC060A"/>
    <w:rsid w:val="00CC0A66"/>
    <w:rsid w:val="00CC2E2A"/>
    <w:rsid w:val="00CC2F98"/>
    <w:rsid w:val="00CC47C8"/>
    <w:rsid w:val="00CC48A1"/>
    <w:rsid w:val="00CC4CCC"/>
    <w:rsid w:val="00CC6328"/>
    <w:rsid w:val="00CC6874"/>
    <w:rsid w:val="00CC76D1"/>
    <w:rsid w:val="00CC7B9F"/>
    <w:rsid w:val="00CC7E60"/>
    <w:rsid w:val="00CD0420"/>
    <w:rsid w:val="00CD0895"/>
    <w:rsid w:val="00CD12AA"/>
    <w:rsid w:val="00CD17C0"/>
    <w:rsid w:val="00CD2B2E"/>
    <w:rsid w:val="00CD36E6"/>
    <w:rsid w:val="00CD385A"/>
    <w:rsid w:val="00CD5430"/>
    <w:rsid w:val="00CD6904"/>
    <w:rsid w:val="00CD7227"/>
    <w:rsid w:val="00CE135A"/>
    <w:rsid w:val="00CE2306"/>
    <w:rsid w:val="00CE26DF"/>
    <w:rsid w:val="00CE2A2C"/>
    <w:rsid w:val="00CE2F03"/>
    <w:rsid w:val="00CE3386"/>
    <w:rsid w:val="00CE3D0C"/>
    <w:rsid w:val="00CE3F8F"/>
    <w:rsid w:val="00CE48D6"/>
    <w:rsid w:val="00CE49A5"/>
    <w:rsid w:val="00CF102D"/>
    <w:rsid w:val="00CF11D3"/>
    <w:rsid w:val="00CF165C"/>
    <w:rsid w:val="00CF215A"/>
    <w:rsid w:val="00CF2B0B"/>
    <w:rsid w:val="00CF2CD5"/>
    <w:rsid w:val="00CF3468"/>
    <w:rsid w:val="00CF4284"/>
    <w:rsid w:val="00CF50FE"/>
    <w:rsid w:val="00CF6581"/>
    <w:rsid w:val="00CF7715"/>
    <w:rsid w:val="00D014D7"/>
    <w:rsid w:val="00D0206B"/>
    <w:rsid w:val="00D03ADC"/>
    <w:rsid w:val="00D04864"/>
    <w:rsid w:val="00D04883"/>
    <w:rsid w:val="00D04FFC"/>
    <w:rsid w:val="00D0514E"/>
    <w:rsid w:val="00D061E7"/>
    <w:rsid w:val="00D0635B"/>
    <w:rsid w:val="00D067AE"/>
    <w:rsid w:val="00D07FE6"/>
    <w:rsid w:val="00D101CE"/>
    <w:rsid w:val="00D109AD"/>
    <w:rsid w:val="00D109CE"/>
    <w:rsid w:val="00D114FD"/>
    <w:rsid w:val="00D126D3"/>
    <w:rsid w:val="00D12BBF"/>
    <w:rsid w:val="00D143BA"/>
    <w:rsid w:val="00D1448D"/>
    <w:rsid w:val="00D146F5"/>
    <w:rsid w:val="00D15397"/>
    <w:rsid w:val="00D15AD7"/>
    <w:rsid w:val="00D15D8F"/>
    <w:rsid w:val="00D15E24"/>
    <w:rsid w:val="00D161AC"/>
    <w:rsid w:val="00D167E6"/>
    <w:rsid w:val="00D171B3"/>
    <w:rsid w:val="00D21636"/>
    <w:rsid w:val="00D21D70"/>
    <w:rsid w:val="00D21F67"/>
    <w:rsid w:val="00D223C3"/>
    <w:rsid w:val="00D227E8"/>
    <w:rsid w:val="00D2442E"/>
    <w:rsid w:val="00D24A0E"/>
    <w:rsid w:val="00D25304"/>
    <w:rsid w:val="00D2769C"/>
    <w:rsid w:val="00D27C9D"/>
    <w:rsid w:val="00D315BA"/>
    <w:rsid w:val="00D34D3D"/>
    <w:rsid w:val="00D357BB"/>
    <w:rsid w:val="00D35AED"/>
    <w:rsid w:val="00D360A1"/>
    <w:rsid w:val="00D37087"/>
    <w:rsid w:val="00D37382"/>
    <w:rsid w:val="00D37926"/>
    <w:rsid w:val="00D37DDE"/>
    <w:rsid w:val="00D409B3"/>
    <w:rsid w:val="00D416AA"/>
    <w:rsid w:val="00D41BE8"/>
    <w:rsid w:val="00D42016"/>
    <w:rsid w:val="00D437CC"/>
    <w:rsid w:val="00D43EAA"/>
    <w:rsid w:val="00D43F41"/>
    <w:rsid w:val="00D44013"/>
    <w:rsid w:val="00D440B4"/>
    <w:rsid w:val="00D4536D"/>
    <w:rsid w:val="00D46C65"/>
    <w:rsid w:val="00D50D6B"/>
    <w:rsid w:val="00D52BF3"/>
    <w:rsid w:val="00D53408"/>
    <w:rsid w:val="00D53929"/>
    <w:rsid w:val="00D53D38"/>
    <w:rsid w:val="00D54846"/>
    <w:rsid w:val="00D5486F"/>
    <w:rsid w:val="00D57AA0"/>
    <w:rsid w:val="00D60D13"/>
    <w:rsid w:val="00D61550"/>
    <w:rsid w:val="00D61ECF"/>
    <w:rsid w:val="00D62507"/>
    <w:rsid w:val="00D63B59"/>
    <w:rsid w:val="00D63F62"/>
    <w:rsid w:val="00D65597"/>
    <w:rsid w:val="00D66C85"/>
    <w:rsid w:val="00D672FF"/>
    <w:rsid w:val="00D67305"/>
    <w:rsid w:val="00D673EB"/>
    <w:rsid w:val="00D70955"/>
    <w:rsid w:val="00D72572"/>
    <w:rsid w:val="00D72DF5"/>
    <w:rsid w:val="00D73FEC"/>
    <w:rsid w:val="00D74A61"/>
    <w:rsid w:val="00D74C68"/>
    <w:rsid w:val="00D7565A"/>
    <w:rsid w:val="00D76217"/>
    <w:rsid w:val="00D76946"/>
    <w:rsid w:val="00D77667"/>
    <w:rsid w:val="00D811BC"/>
    <w:rsid w:val="00D816D2"/>
    <w:rsid w:val="00D833C6"/>
    <w:rsid w:val="00D83846"/>
    <w:rsid w:val="00D83A1C"/>
    <w:rsid w:val="00D84B5C"/>
    <w:rsid w:val="00D84D7D"/>
    <w:rsid w:val="00D85855"/>
    <w:rsid w:val="00D862D4"/>
    <w:rsid w:val="00D869DA"/>
    <w:rsid w:val="00D87509"/>
    <w:rsid w:val="00D9160F"/>
    <w:rsid w:val="00D926C0"/>
    <w:rsid w:val="00D92C8C"/>
    <w:rsid w:val="00D92E29"/>
    <w:rsid w:val="00D92E83"/>
    <w:rsid w:val="00D94C73"/>
    <w:rsid w:val="00D95B91"/>
    <w:rsid w:val="00D961CA"/>
    <w:rsid w:val="00D97599"/>
    <w:rsid w:val="00D976E3"/>
    <w:rsid w:val="00D97845"/>
    <w:rsid w:val="00DA038A"/>
    <w:rsid w:val="00DA1171"/>
    <w:rsid w:val="00DA143B"/>
    <w:rsid w:val="00DA242B"/>
    <w:rsid w:val="00DA2B4E"/>
    <w:rsid w:val="00DA2BF2"/>
    <w:rsid w:val="00DA3592"/>
    <w:rsid w:val="00DA5012"/>
    <w:rsid w:val="00DA556F"/>
    <w:rsid w:val="00DA68EB"/>
    <w:rsid w:val="00DA77AA"/>
    <w:rsid w:val="00DA791F"/>
    <w:rsid w:val="00DA7994"/>
    <w:rsid w:val="00DB016F"/>
    <w:rsid w:val="00DB1065"/>
    <w:rsid w:val="00DB1822"/>
    <w:rsid w:val="00DB1C7F"/>
    <w:rsid w:val="00DB273D"/>
    <w:rsid w:val="00DB2909"/>
    <w:rsid w:val="00DB2EDC"/>
    <w:rsid w:val="00DB3AAC"/>
    <w:rsid w:val="00DB42A2"/>
    <w:rsid w:val="00DB60A5"/>
    <w:rsid w:val="00DB6EB1"/>
    <w:rsid w:val="00DB7F64"/>
    <w:rsid w:val="00DC01BE"/>
    <w:rsid w:val="00DC1C37"/>
    <w:rsid w:val="00DC2441"/>
    <w:rsid w:val="00DC2C32"/>
    <w:rsid w:val="00DC3BED"/>
    <w:rsid w:val="00DC418A"/>
    <w:rsid w:val="00DC41D2"/>
    <w:rsid w:val="00DC4D25"/>
    <w:rsid w:val="00DC5897"/>
    <w:rsid w:val="00DC6788"/>
    <w:rsid w:val="00DC6AA6"/>
    <w:rsid w:val="00DC708F"/>
    <w:rsid w:val="00DD0A9E"/>
    <w:rsid w:val="00DD14FF"/>
    <w:rsid w:val="00DD20AA"/>
    <w:rsid w:val="00DD3BC9"/>
    <w:rsid w:val="00DD3DA9"/>
    <w:rsid w:val="00DD3EEB"/>
    <w:rsid w:val="00DD4BCE"/>
    <w:rsid w:val="00DD4DBB"/>
    <w:rsid w:val="00DD5A41"/>
    <w:rsid w:val="00DD5B33"/>
    <w:rsid w:val="00DD65E7"/>
    <w:rsid w:val="00DE0A57"/>
    <w:rsid w:val="00DE0EE5"/>
    <w:rsid w:val="00DE1907"/>
    <w:rsid w:val="00DE1959"/>
    <w:rsid w:val="00DE19B0"/>
    <w:rsid w:val="00DE2A6D"/>
    <w:rsid w:val="00DE2D9A"/>
    <w:rsid w:val="00DE3548"/>
    <w:rsid w:val="00DE35C9"/>
    <w:rsid w:val="00DE44A3"/>
    <w:rsid w:val="00DE4D1C"/>
    <w:rsid w:val="00DE54A1"/>
    <w:rsid w:val="00DE644F"/>
    <w:rsid w:val="00DF02B1"/>
    <w:rsid w:val="00DF0E57"/>
    <w:rsid w:val="00DF1A25"/>
    <w:rsid w:val="00DF2091"/>
    <w:rsid w:val="00DF354F"/>
    <w:rsid w:val="00DF55FA"/>
    <w:rsid w:val="00DF7AB2"/>
    <w:rsid w:val="00DF7D6F"/>
    <w:rsid w:val="00E00123"/>
    <w:rsid w:val="00E014C1"/>
    <w:rsid w:val="00E01E61"/>
    <w:rsid w:val="00E02088"/>
    <w:rsid w:val="00E02AB6"/>
    <w:rsid w:val="00E02BDB"/>
    <w:rsid w:val="00E02F31"/>
    <w:rsid w:val="00E03949"/>
    <w:rsid w:val="00E04018"/>
    <w:rsid w:val="00E10A97"/>
    <w:rsid w:val="00E10CF0"/>
    <w:rsid w:val="00E132D8"/>
    <w:rsid w:val="00E1419E"/>
    <w:rsid w:val="00E148EA"/>
    <w:rsid w:val="00E156EF"/>
    <w:rsid w:val="00E16922"/>
    <w:rsid w:val="00E20935"/>
    <w:rsid w:val="00E20DD0"/>
    <w:rsid w:val="00E21BC5"/>
    <w:rsid w:val="00E22064"/>
    <w:rsid w:val="00E225B5"/>
    <w:rsid w:val="00E248A1"/>
    <w:rsid w:val="00E25A00"/>
    <w:rsid w:val="00E2664E"/>
    <w:rsid w:val="00E26EA9"/>
    <w:rsid w:val="00E26EB7"/>
    <w:rsid w:val="00E272F7"/>
    <w:rsid w:val="00E27B2B"/>
    <w:rsid w:val="00E306D7"/>
    <w:rsid w:val="00E30B35"/>
    <w:rsid w:val="00E31338"/>
    <w:rsid w:val="00E31B4B"/>
    <w:rsid w:val="00E31BBE"/>
    <w:rsid w:val="00E31C37"/>
    <w:rsid w:val="00E32D72"/>
    <w:rsid w:val="00E331AE"/>
    <w:rsid w:val="00E368EA"/>
    <w:rsid w:val="00E3768E"/>
    <w:rsid w:val="00E40181"/>
    <w:rsid w:val="00E40471"/>
    <w:rsid w:val="00E4056E"/>
    <w:rsid w:val="00E40739"/>
    <w:rsid w:val="00E40953"/>
    <w:rsid w:val="00E41377"/>
    <w:rsid w:val="00E423CD"/>
    <w:rsid w:val="00E436BF"/>
    <w:rsid w:val="00E43D88"/>
    <w:rsid w:val="00E45FDC"/>
    <w:rsid w:val="00E467EF"/>
    <w:rsid w:val="00E471A3"/>
    <w:rsid w:val="00E47851"/>
    <w:rsid w:val="00E505B2"/>
    <w:rsid w:val="00E51CD2"/>
    <w:rsid w:val="00E526D8"/>
    <w:rsid w:val="00E52F23"/>
    <w:rsid w:val="00E53AF5"/>
    <w:rsid w:val="00E544CB"/>
    <w:rsid w:val="00E54961"/>
    <w:rsid w:val="00E54BB5"/>
    <w:rsid w:val="00E54BB9"/>
    <w:rsid w:val="00E5613C"/>
    <w:rsid w:val="00E56280"/>
    <w:rsid w:val="00E57A86"/>
    <w:rsid w:val="00E57ABD"/>
    <w:rsid w:val="00E60031"/>
    <w:rsid w:val="00E606AA"/>
    <w:rsid w:val="00E61BB9"/>
    <w:rsid w:val="00E62B65"/>
    <w:rsid w:val="00E62DD6"/>
    <w:rsid w:val="00E631E3"/>
    <w:rsid w:val="00E63546"/>
    <w:rsid w:val="00E63ECE"/>
    <w:rsid w:val="00E64412"/>
    <w:rsid w:val="00E645CB"/>
    <w:rsid w:val="00E7185C"/>
    <w:rsid w:val="00E72899"/>
    <w:rsid w:val="00E741B7"/>
    <w:rsid w:val="00E7543B"/>
    <w:rsid w:val="00E7679B"/>
    <w:rsid w:val="00E779BE"/>
    <w:rsid w:val="00E77BCC"/>
    <w:rsid w:val="00E81960"/>
    <w:rsid w:val="00E829F3"/>
    <w:rsid w:val="00E82BFD"/>
    <w:rsid w:val="00E82DFA"/>
    <w:rsid w:val="00E839CA"/>
    <w:rsid w:val="00E83EE3"/>
    <w:rsid w:val="00E86601"/>
    <w:rsid w:val="00E86D7B"/>
    <w:rsid w:val="00E87378"/>
    <w:rsid w:val="00E9058C"/>
    <w:rsid w:val="00E90746"/>
    <w:rsid w:val="00E90DBE"/>
    <w:rsid w:val="00E91D7F"/>
    <w:rsid w:val="00E91D87"/>
    <w:rsid w:val="00E91DD4"/>
    <w:rsid w:val="00E93A94"/>
    <w:rsid w:val="00E942D1"/>
    <w:rsid w:val="00E946FC"/>
    <w:rsid w:val="00E94EA7"/>
    <w:rsid w:val="00E96D69"/>
    <w:rsid w:val="00E97D99"/>
    <w:rsid w:val="00EA0888"/>
    <w:rsid w:val="00EA0C2B"/>
    <w:rsid w:val="00EA129E"/>
    <w:rsid w:val="00EA2015"/>
    <w:rsid w:val="00EA2138"/>
    <w:rsid w:val="00EA230C"/>
    <w:rsid w:val="00EA2822"/>
    <w:rsid w:val="00EA2B34"/>
    <w:rsid w:val="00EA2BD7"/>
    <w:rsid w:val="00EA4DA1"/>
    <w:rsid w:val="00EA6820"/>
    <w:rsid w:val="00EA73F3"/>
    <w:rsid w:val="00EA75DA"/>
    <w:rsid w:val="00EB0245"/>
    <w:rsid w:val="00EB030D"/>
    <w:rsid w:val="00EB11CF"/>
    <w:rsid w:val="00EB1A0B"/>
    <w:rsid w:val="00EB2450"/>
    <w:rsid w:val="00EB618B"/>
    <w:rsid w:val="00EB62B1"/>
    <w:rsid w:val="00EB73A6"/>
    <w:rsid w:val="00EC053C"/>
    <w:rsid w:val="00EC068F"/>
    <w:rsid w:val="00EC0EE3"/>
    <w:rsid w:val="00EC2270"/>
    <w:rsid w:val="00EC2604"/>
    <w:rsid w:val="00EC2CDB"/>
    <w:rsid w:val="00EC3F2B"/>
    <w:rsid w:val="00EC4606"/>
    <w:rsid w:val="00EC5159"/>
    <w:rsid w:val="00EC5227"/>
    <w:rsid w:val="00EC52B3"/>
    <w:rsid w:val="00EC6BFC"/>
    <w:rsid w:val="00EC7599"/>
    <w:rsid w:val="00EC7CCF"/>
    <w:rsid w:val="00ED01C7"/>
    <w:rsid w:val="00ED0417"/>
    <w:rsid w:val="00ED2BB1"/>
    <w:rsid w:val="00ED45D9"/>
    <w:rsid w:val="00ED5C58"/>
    <w:rsid w:val="00ED661F"/>
    <w:rsid w:val="00ED6BD4"/>
    <w:rsid w:val="00ED78D5"/>
    <w:rsid w:val="00ED7E21"/>
    <w:rsid w:val="00EE0730"/>
    <w:rsid w:val="00EE0C13"/>
    <w:rsid w:val="00EE0DCF"/>
    <w:rsid w:val="00EE1CD0"/>
    <w:rsid w:val="00EE25AA"/>
    <w:rsid w:val="00EE2AF8"/>
    <w:rsid w:val="00EE2AFE"/>
    <w:rsid w:val="00EE3632"/>
    <w:rsid w:val="00EE50DA"/>
    <w:rsid w:val="00EE53B6"/>
    <w:rsid w:val="00EE542E"/>
    <w:rsid w:val="00EE56D6"/>
    <w:rsid w:val="00EE5EC1"/>
    <w:rsid w:val="00EE613A"/>
    <w:rsid w:val="00EE62E5"/>
    <w:rsid w:val="00EE72C6"/>
    <w:rsid w:val="00EF01A9"/>
    <w:rsid w:val="00EF0A8A"/>
    <w:rsid w:val="00EF1623"/>
    <w:rsid w:val="00EF199E"/>
    <w:rsid w:val="00EF2027"/>
    <w:rsid w:val="00EF3484"/>
    <w:rsid w:val="00EF4692"/>
    <w:rsid w:val="00EF618A"/>
    <w:rsid w:val="00EF6961"/>
    <w:rsid w:val="00EF71D5"/>
    <w:rsid w:val="00F00F0C"/>
    <w:rsid w:val="00F01801"/>
    <w:rsid w:val="00F01F46"/>
    <w:rsid w:val="00F03040"/>
    <w:rsid w:val="00F048FC"/>
    <w:rsid w:val="00F058B8"/>
    <w:rsid w:val="00F066AC"/>
    <w:rsid w:val="00F07653"/>
    <w:rsid w:val="00F07E34"/>
    <w:rsid w:val="00F1314E"/>
    <w:rsid w:val="00F13361"/>
    <w:rsid w:val="00F13788"/>
    <w:rsid w:val="00F13805"/>
    <w:rsid w:val="00F14E16"/>
    <w:rsid w:val="00F1664B"/>
    <w:rsid w:val="00F16E91"/>
    <w:rsid w:val="00F170D6"/>
    <w:rsid w:val="00F17491"/>
    <w:rsid w:val="00F20A15"/>
    <w:rsid w:val="00F221BB"/>
    <w:rsid w:val="00F22663"/>
    <w:rsid w:val="00F236D2"/>
    <w:rsid w:val="00F242CA"/>
    <w:rsid w:val="00F246F4"/>
    <w:rsid w:val="00F247F3"/>
    <w:rsid w:val="00F26F7D"/>
    <w:rsid w:val="00F30AB6"/>
    <w:rsid w:val="00F30D3E"/>
    <w:rsid w:val="00F3129D"/>
    <w:rsid w:val="00F319F7"/>
    <w:rsid w:val="00F3330A"/>
    <w:rsid w:val="00F33CB4"/>
    <w:rsid w:val="00F34142"/>
    <w:rsid w:val="00F34561"/>
    <w:rsid w:val="00F34603"/>
    <w:rsid w:val="00F3475E"/>
    <w:rsid w:val="00F348E5"/>
    <w:rsid w:val="00F35AEB"/>
    <w:rsid w:val="00F36072"/>
    <w:rsid w:val="00F362A2"/>
    <w:rsid w:val="00F36EFA"/>
    <w:rsid w:val="00F37971"/>
    <w:rsid w:val="00F37C63"/>
    <w:rsid w:val="00F4009F"/>
    <w:rsid w:val="00F4107A"/>
    <w:rsid w:val="00F42181"/>
    <w:rsid w:val="00F4256C"/>
    <w:rsid w:val="00F43239"/>
    <w:rsid w:val="00F4336A"/>
    <w:rsid w:val="00F45208"/>
    <w:rsid w:val="00F4528C"/>
    <w:rsid w:val="00F453FE"/>
    <w:rsid w:val="00F45CD7"/>
    <w:rsid w:val="00F4637E"/>
    <w:rsid w:val="00F46A88"/>
    <w:rsid w:val="00F470B3"/>
    <w:rsid w:val="00F47F50"/>
    <w:rsid w:val="00F50E6E"/>
    <w:rsid w:val="00F510FF"/>
    <w:rsid w:val="00F514AA"/>
    <w:rsid w:val="00F516BB"/>
    <w:rsid w:val="00F52229"/>
    <w:rsid w:val="00F525E8"/>
    <w:rsid w:val="00F52F52"/>
    <w:rsid w:val="00F537E3"/>
    <w:rsid w:val="00F53FB3"/>
    <w:rsid w:val="00F5405B"/>
    <w:rsid w:val="00F54B99"/>
    <w:rsid w:val="00F54C9D"/>
    <w:rsid w:val="00F55AB4"/>
    <w:rsid w:val="00F55F89"/>
    <w:rsid w:val="00F5677A"/>
    <w:rsid w:val="00F61838"/>
    <w:rsid w:val="00F61BA1"/>
    <w:rsid w:val="00F63349"/>
    <w:rsid w:val="00F64EB1"/>
    <w:rsid w:val="00F6743A"/>
    <w:rsid w:val="00F702DD"/>
    <w:rsid w:val="00F70ADA"/>
    <w:rsid w:val="00F72236"/>
    <w:rsid w:val="00F75995"/>
    <w:rsid w:val="00F76BAC"/>
    <w:rsid w:val="00F77605"/>
    <w:rsid w:val="00F77D46"/>
    <w:rsid w:val="00F77DEE"/>
    <w:rsid w:val="00F77F1B"/>
    <w:rsid w:val="00F812EB"/>
    <w:rsid w:val="00F82F62"/>
    <w:rsid w:val="00F835A8"/>
    <w:rsid w:val="00F83E75"/>
    <w:rsid w:val="00F85427"/>
    <w:rsid w:val="00F855AA"/>
    <w:rsid w:val="00F865C7"/>
    <w:rsid w:val="00F86614"/>
    <w:rsid w:val="00F87141"/>
    <w:rsid w:val="00F90924"/>
    <w:rsid w:val="00F90D40"/>
    <w:rsid w:val="00F91C1B"/>
    <w:rsid w:val="00F91D0D"/>
    <w:rsid w:val="00F91F22"/>
    <w:rsid w:val="00F9302A"/>
    <w:rsid w:val="00F939C1"/>
    <w:rsid w:val="00F939D7"/>
    <w:rsid w:val="00F93ABE"/>
    <w:rsid w:val="00F94E7D"/>
    <w:rsid w:val="00F9523B"/>
    <w:rsid w:val="00F975E6"/>
    <w:rsid w:val="00FA0AD6"/>
    <w:rsid w:val="00FA0E3A"/>
    <w:rsid w:val="00FA318A"/>
    <w:rsid w:val="00FA3218"/>
    <w:rsid w:val="00FA360E"/>
    <w:rsid w:val="00FA4522"/>
    <w:rsid w:val="00FA61B5"/>
    <w:rsid w:val="00FB05F6"/>
    <w:rsid w:val="00FB11FC"/>
    <w:rsid w:val="00FB1A2A"/>
    <w:rsid w:val="00FB395B"/>
    <w:rsid w:val="00FB39A9"/>
    <w:rsid w:val="00FB3EA1"/>
    <w:rsid w:val="00FB400B"/>
    <w:rsid w:val="00FB50D9"/>
    <w:rsid w:val="00FB5757"/>
    <w:rsid w:val="00FB583D"/>
    <w:rsid w:val="00FB61CF"/>
    <w:rsid w:val="00FB7336"/>
    <w:rsid w:val="00FB750F"/>
    <w:rsid w:val="00FC0CC6"/>
    <w:rsid w:val="00FC357D"/>
    <w:rsid w:val="00FC6C73"/>
    <w:rsid w:val="00FC7284"/>
    <w:rsid w:val="00FD0758"/>
    <w:rsid w:val="00FD08A2"/>
    <w:rsid w:val="00FD1336"/>
    <w:rsid w:val="00FD1FF6"/>
    <w:rsid w:val="00FD32E7"/>
    <w:rsid w:val="00FD332F"/>
    <w:rsid w:val="00FD5871"/>
    <w:rsid w:val="00FD5B7D"/>
    <w:rsid w:val="00FD6357"/>
    <w:rsid w:val="00FD6AEE"/>
    <w:rsid w:val="00FD6EBD"/>
    <w:rsid w:val="00FD7C70"/>
    <w:rsid w:val="00FD7E34"/>
    <w:rsid w:val="00FE0BA6"/>
    <w:rsid w:val="00FE126B"/>
    <w:rsid w:val="00FE1736"/>
    <w:rsid w:val="00FE316D"/>
    <w:rsid w:val="00FE32C9"/>
    <w:rsid w:val="00FE3497"/>
    <w:rsid w:val="00FE5403"/>
    <w:rsid w:val="00FE615A"/>
    <w:rsid w:val="00FE633A"/>
    <w:rsid w:val="00FE6E1A"/>
    <w:rsid w:val="00FE702A"/>
    <w:rsid w:val="00FF08F6"/>
    <w:rsid w:val="00FF0B77"/>
    <w:rsid w:val="00FF21D2"/>
    <w:rsid w:val="00FF23DC"/>
    <w:rsid w:val="00FF2F20"/>
    <w:rsid w:val="00FF3565"/>
    <w:rsid w:val="00FF541A"/>
    <w:rsid w:val="00FF6635"/>
    <w:rsid w:val="00FF6765"/>
    <w:rsid w:val="00FF69DA"/>
    <w:rsid w:val="00FF6D3B"/>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2050"/>
    <o:shapelayout v:ext="edit">
      <o:idmap v:ext="edit" data="1"/>
      <o:rules v:ext="edit">
        <o:r id="V:Rule15" type="connector" idref="#AutoShape 1040"/>
        <o:r id="V:Rule16" type="connector" idref="#AutoShape 1031"/>
        <o:r id="V:Rule17" type="connector" idref="#AutoShape 1032"/>
        <o:r id="V:Rule18" type="connector" idref="#AutoShape 1022"/>
        <o:r id="V:Rule19" type="connector" idref="#AutoShape 1029"/>
        <o:r id="V:Rule20" type="connector" idref="#AutoShape 1033"/>
        <o:r id="V:Rule21" type="connector" idref="#AutoShape 1028"/>
        <o:r id="V:Rule22" type="connector" idref="#AutoShape 1030"/>
        <o:r id="V:Rule23" type="connector" idref="#AutoShape 1026"/>
        <o:r id="V:Rule24" type="connector" idref="#AutoShape 1025"/>
        <o:r id="V:Rule25" type="connector" idref="#AutoShape 1024"/>
        <o:r id="V:Rule26" type="connector" idref="#AutoShape 1034"/>
        <o:r id="V:Rule27" type="connector" idref="#AutoShape 1027"/>
        <o:r id="V:Rule28" type="connector" idref="#AutoShape 102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44C0"/>
    <w:pPr>
      <w:spacing w:after="200" w:line="276" w:lineRule="auto"/>
    </w:pPr>
    <w:rPr>
      <w:sz w:val="22"/>
      <w:szCs w:val="22"/>
      <w:lang w:eastAsia="en-US"/>
    </w:rPr>
  </w:style>
  <w:style w:type="paragraph" w:styleId="Heading1">
    <w:name w:val="heading 1"/>
    <w:basedOn w:val="Normal"/>
    <w:next w:val="Normal"/>
    <w:link w:val="Heading1Char"/>
    <w:uiPriority w:val="9"/>
    <w:qFormat/>
    <w:rsid w:val="00893739"/>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qFormat/>
    <w:rsid w:val="00893739"/>
    <w:pPr>
      <w:keepNext/>
      <w:numPr>
        <w:ilvl w:val="1"/>
        <w:numId w:val="1"/>
      </w:numPr>
      <w:spacing w:before="240" w:after="60" w:line="240" w:lineRule="auto"/>
      <w:jc w:val="both"/>
      <w:outlineLvl w:val="1"/>
    </w:pPr>
    <w:rPr>
      <w:rFonts w:ascii="Arial" w:eastAsia="Times New Roman" w:hAnsi="Arial"/>
      <w:b/>
      <w:bCs/>
      <w:i/>
      <w:iCs/>
      <w:sz w:val="28"/>
      <w:szCs w:val="28"/>
      <w:lang w:eastAsia="es-ES"/>
    </w:rPr>
  </w:style>
  <w:style w:type="paragraph" w:styleId="Heading3">
    <w:name w:val="heading 3"/>
    <w:basedOn w:val="Normal"/>
    <w:next w:val="Normal"/>
    <w:link w:val="Heading3Char"/>
    <w:qFormat/>
    <w:rsid w:val="00893739"/>
    <w:pPr>
      <w:keepNext/>
      <w:numPr>
        <w:ilvl w:val="2"/>
        <w:numId w:val="1"/>
      </w:numPr>
      <w:spacing w:before="240" w:after="60" w:line="240" w:lineRule="auto"/>
      <w:jc w:val="both"/>
      <w:outlineLvl w:val="2"/>
    </w:pPr>
    <w:rPr>
      <w:rFonts w:ascii="Arial" w:eastAsia="Times New Roman" w:hAnsi="Arial"/>
      <w:b/>
      <w:bCs/>
      <w:sz w:val="26"/>
      <w:szCs w:val="26"/>
      <w:lang w:eastAsia="es-ES"/>
    </w:rPr>
  </w:style>
  <w:style w:type="paragraph" w:styleId="Heading4">
    <w:name w:val="heading 4"/>
    <w:basedOn w:val="Normal"/>
    <w:next w:val="Normal"/>
    <w:link w:val="Heading4Char"/>
    <w:qFormat/>
    <w:rsid w:val="00893739"/>
    <w:pPr>
      <w:keepNext/>
      <w:numPr>
        <w:ilvl w:val="3"/>
        <w:numId w:val="1"/>
      </w:numPr>
      <w:spacing w:before="240" w:after="60" w:line="240" w:lineRule="auto"/>
      <w:jc w:val="both"/>
      <w:outlineLvl w:val="3"/>
    </w:pPr>
    <w:rPr>
      <w:rFonts w:ascii="Times New Roman" w:eastAsia="Times New Roman" w:hAnsi="Times New Roman"/>
      <w:b/>
      <w:bCs/>
      <w:sz w:val="28"/>
      <w:szCs w:val="28"/>
      <w:lang w:eastAsia="es-ES"/>
    </w:rPr>
  </w:style>
  <w:style w:type="paragraph" w:styleId="Heading5">
    <w:name w:val="heading 5"/>
    <w:basedOn w:val="Normal"/>
    <w:next w:val="Normal"/>
    <w:link w:val="Heading5Char"/>
    <w:qFormat/>
    <w:rsid w:val="00893739"/>
    <w:pPr>
      <w:keepNext/>
      <w:numPr>
        <w:ilvl w:val="4"/>
        <w:numId w:val="1"/>
      </w:numPr>
      <w:spacing w:before="240" w:after="60" w:line="240" w:lineRule="auto"/>
      <w:jc w:val="both"/>
      <w:outlineLvl w:val="4"/>
    </w:pPr>
    <w:rPr>
      <w:rFonts w:ascii="Times New Roman" w:eastAsia="Times New Roman" w:hAnsi="Times New Roman"/>
      <w:b/>
      <w:bCs/>
      <w:i/>
      <w:iCs/>
      <w:sz w:val="26"/>
      <w:szCs w:val="26"/>
      <w:lang w:eastAsia="es-ES"/>
    </w:rPr>
  </w:style>
  <w:style w:type="paragraph" w:styleId="Heading6">
    <w:name w:val="heading 6"/>
    <w:basedOn w:val="Normal"/>
    <w:next w:val="Normal"/>
    <w:link w:val="Heading6Char"/>
    <w:qFormat/>
    <w:rsid w:val="00893739"/>
    <w:pPr>
      <w:numPr>
        <w:ilvl w:val="5"/>
        <w:numId w:val="1"/>
      </w:numPr>
      <w:spacing w:before="240" w:after="60" w:line="240" w:lineRule="auto"/>
      <w:jc w:val="both"/>
      <w:outlineLvl w:val="5"/>
    </w:pPr>
    <w:rPr>
      <w:rFonts w:ascii="Times New Roman" w:eastAsia="Times New Roman" w:hAnsi="Times New Roman"/>
      <w:b/>
      <w:bCs/>
      <w:lang w:eastAsia="es-ES"/>
    </w:rPr>
  </w:style>
  <w:style w:type="paragraph" w:styleId="Heading7">
    <w:name w:val="heading 7"/>
    <w:basedOn w:val="Normal"/>
    <w:next w:val="Normal"/>
    <w:link w:val="Heading7Char"/>
    <w:qFormat/>
    <w:rsid w:val="00893739"/>
    <w:pPr>
      <w:numPr>
        <w:ilvl w:val="6"/>
        <w:numId w:val="1"/>
      </w:numPr>
      <w:spacing w:before="240" w:after="60" w:line="240" w:lineRule="auto"/>
      <w:jc w:val="both"/>
      <w:outlineLvl w:val="6"/>
    </w:pPr>
    <w:rPr>
      <w:rFonts w:ascii="Times New Roman" w:eastAsia="Times New Roman" w:hAnsi="Times New Roman"/>
      <w:sz w:val="24"/>
      <w:szCs w:val="24"/>
      <w:lang w:eastAsia="es-ES"/>
    </w:rPr>
  </w:style>
  <w:style w:type="paragraph" w:styleId="Heading8">
    <w:name w:val="heading 8"/>
    <w:basedOn w:val="Normal"/>
    <w:next w:val="Normal"/>
    <w:link w:val="Heading8Char"/>
    <w:qFormat/>
    <w:rsid w:val="00893739"/>
    <w:pPr>
      <w:numPr>
        <w:ilvl w:val="7"/>
        <w:numId w:val="1"/>
      </w:numPr>
      <w:spacing w:before="240" w:after="60" w:line="240" w:lineRule="auto"/>
      <w:jc w:val="both"/>
      <w:outlineLvl w:val="7"/>
    </w:pPr>
    <w:rPr>
      <w:rFonts w:ascii="Times New Roman" w:eastAsia="Times New Roman" w:hAnsi="Times New Roman"/>
      <w:i/>
      <w:iCs/>
      <w:sz w:val="24"/>
      <w:szCs w:val="24"/>
      <w:lang w:eastAsia="es-ES"/>
    </w:rPr>
  </w:style>
  <w:style w:type="paragraph" w:styleId="Heading9">
    <w:name w:val="heading 9"/>
    <w:basedOn w:val="Normal"/>
    <w:next w:val="Normal"/>
    <w:link w:val="Heading9Char"/>
    <w:qFormat/>
    <w:rsid w:val="00893739"/>
    <w:pPr>
      <w:numPr>
        <w:ilvl w:val="8"/>
        <w:numId w:val="1"/>
      </w:numPr>
      <w:spacing w:before="240" w:after="60" w:line="240" w:lineRule="auto"/>
      <w:jc w:val="both"/>
      <w:outlineLvl w:val="8"/>
    </w:pPr>
    <w:rPr>
      <w:rFonts w:ascii="Arial" w:eastAsia="Times New Roman" w:hAnsi="Arial"/>
      <w:lang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93739"/>
    <w:rPr>
      <w:rFonts w:ascii="Cambria" w:eastAsia="Times New Roman" w:hAnsi="Cambria" w:cs="Times New Roman"/>
      <w:b/>
      <w:bCs/>
      <w:kern w:val="32"/>
      <w:sz w:val="32"/>
      <w:szCs w:val="32"/>
      <w:lang w:eastAsia="en-US"/>
    </w:rPr>
  </w:style>
  <w:style w:type="character" w:customStyle="1" w:styleId="Heading2Char">
    <w:name w:val="Heading 2 Char"/>
    <w:link w:val="Heading2"/>
    <w:rsid w:val="00893739"/>
    <w:rPr>
      <w:rFonts w:ascii="Arial" w:eastAsia="Times New Roman" w:hAnsi="Arial" w:cs="Arial"/>
      <w:b/>
      <w:bCs/>
      <w:i/>
      <w:iCs/>
      <w:sz w:val="28"/>
      <w:szCs w:val="28"/>
      <w:lang w:eastAsia="es-ES"/>
    </w:rPr>
  </w:style>
  <w:style w:type="character" w:customStyle="1" w:styleId="Heading3Char">
    <w:name w:val="Heading 3 Char"/>
    <w:link w:val="Heading3"/>
    <w:rsid w:val="00893739"/>
    <w:rPr>
      <w:rFonts w:ascii="Arial" w:eastAsia="Times New Roman" w:hAnsi="Arial" w:cs="Arial"/>
      <w:b/>
      <w:bCs/>
      <w:sz w:val="26"/>
      <w:szCs w:val="26"/>
      <w:lang w:eastAsia="es-ES"/>
    </w:rPr>
  </w:style>
  <w:style w:type="character" w:customStyle="1" w:styleId="Heading4Char">
    <w:name w:val="Heading 4 Char"/>
    <w:link w:val="Heading4"/>
    <w:rsid w:val="00893739"/>
    <w:rPr>
      <w:rFonts w:ascii="Times New Roman" w:eastAsia="Times New Roman" w:hAnsi="Times New Roman"/>
      <w:b/>
      <w:bCs/>
      <w:sz w:val="28"/>
      <w:szCs w:val="28"/>
      <w:lang w:eastAsia="es-ES"/>
    </w:rPr>
  </w:style>
  <w:style w:type="character" w:customStyle="1" w:styleId="Heading5Char">
    <w:name w:val="Heading 5 Char"/>
    <w:link w:val="Heading5"/>
    <w:rsid w:val="00893739"/>
    <w:rPr>
      <w:rFonts w:ascii="Times New Roman" w:eastAsia="Times New Roman" w:hAnsi="Times New Roman"/>
      <w:b/>
      <w:bCs/>
      <w:i/>
      <w:iCs/>
      <w:sz w:val="26"/>
      <w:szCs w:val="26"/>
      <w:lang w:eastAsia="es-ES"/>
    </w:rPr>
  </w:style>
  <w:style w:type="character" w:customStyle="1" w:styleId="Heading6Char">
    <w:name w:val="Heading 6 Char"/>
    <w:link w:val="Heading6"/>
    <w:rsid w:val="00893739"/>
    <w:rPr>
      <w:rFonts w:ascii="Times New Roman" w:eastAsia="Times New Roman" w:hAnsi="Times New Roman"/>
      <w:b/>
      <w:bCs/>
      <w:sz w:val="22"/>
      <w:szCs w:val="22"/>
      <w:lang w:eastAsia="es-ES"/>
    </w:rPr>
  </w:style>
  <w:style w:type="character" w:customStyle="1" w:styleId="Heading7Char">
    <w:name w:val="Heading 7 Char"/>
    <w:link w:val="Heading7"/>
    <w:rsid w:val="00893739"/>
    <w:rPr>
      <w:rFonts w:ascii="Times New Roman" w:eastAsia="Times New Roman" w:hAnsi="Times New Roman"/>
      <w:sz w:val="24"/>
      <w:szCs w:val="24"/>
      <w:lang w:eastAsia="es-ES"/>
    </w:rPr>
  </w:style>
  <w:style w:type="character" w:customStyle="1" w:styleId="Heading8Char">
    <w:name w:val="Heading 8 Char"/>
    <w:link w:val="Heading8"/>
    <w:rsid w:val="00893739"/>
    <w:rPr>
      <w:rFonts w:ascii="Times New Roman" w:eastAsia="Times New Roman" w:hAnsi="Times New Roman"/>
      <w:i/>
      <w:iCs/>
      <w:sz w:val="24"/>
      <w:szCs w:val="24"/>
      <w:lang w:eastAsia="es-ES"/>
    </w:rPr>
  </w:style>
  <w:style w:type="character" w:customStyle="1" w:styleId="Heading9Char">
    <w:name w:val="Heading 9 Char"/>
    <w:link w:val="Heading9"/>
    <w:rsid w:val="00893739"/>
    <w:rPr>
      <w:rFonts w:ascii="Arial" w:eastAsia="Times New Roman" w:hAnsi="Arial" w:cs="Arial"/>
      <w:sz w:val="22"/>
      <w:szCs w:val="22"/>
      <w:lang w:eastAsia="es-ES"/>
    </w:rPr>
  </w:style>
  <w:style w:type="character" w:styleId="Hyperlink">
    <w:name w:val="Hyperlink"/>
    <w:unhideWhenUsed/>
    <w:rsid w:val="00B611BA"/>
    <w:rPr>
      <w:color w:val="0000FF"/>
      <w:u w:val="single"/>
    </w:rPr>
  </w:style>
  <w:style w:type="paragraph" w:styleId="NormalWeb">
    <w:name w:val="Normal (Web)"/>
    <w:basedOn w:val="Normal"/>
    <w:uiPriority w:val="99"/>
    <w:unhideWhenUsed/>
    <w:rsid w:val="00C8004E"/>
    <w:rPr>
      <w:rFonts w:ascii="Times New Roman" w:hAnsi="Times New Roman"/>
      <w:sz w:val="24"/>
      <w:szCs w:val="24"/>
    </w:rPr>
  </w:style>
  <w:style w:type="paragraph" w:styleId="FootnoteText">
    <w:name w:val="footnote text"/>
    <w:aliases w:val="FSR footnote,Footnote,Fußnote,lábléc,Footnote Text Char Char,Schriftart: 9 pt,Schriftart: 10 pt,Schriftart: 8 pt,WB-Fußnotentext,fn,Footnotes,Footnote ak,Char,foot note text,Footnote Text Char2,Footnote Text Char1 Char"/>
    <w:basedOn w:val="Normal"/>
    <w:link w:val="FootnoteTextChar"/>
    <w:unhideWhenUsed/>
    <w:rsid w:val="00716D38"/>
    <w:pPr>
      <w:spacing w:after="0" w:line="240" w:lineRule="auto"/>
    </w:pPr>
    <w:rPr>
      <w:sz w:val="20"/>
      <w:szCs w:val="20"/>
    </w:rPr>
  </w:style>
  <w:style w:type="character" w:customStyle="1" w:styleId="FootnoteTextChar">
    <w:name w:val="Footnote Text Char"/>
    <w:aliases w:val="FSR footnote Char,Footnote Char,Fußnote Char,lábléc Char,Footnote Text Char Char Char,Schriftart: 9 pt Char,Schriftart: 10 pt Char,Schriftart: 8 pt Char,WB-Fußnotentext Char,fn Char,Footnotes Char,Footnote ak Char,Char Char"/>
    <w:link w:val="FootnoteText"/>
    <w:rsid w:val="00716D38"/>
    <w:rPr>
      <w:sz w:val="20"/>
      <w:szCs w:val="20"/>
    </w:rPr>
  </w:style>
  <w:style w:type="character" w:styleId="FootnoteReference">
    <w:name w:val="footnote reference"/>
    <w:aliases w:val="Footnote Reference Number,Footnote Reference_LVL6,Footnote Reference_LVL61,Footnote Reference_LVL62,Footnote Reference_LVL63,Footnote Reference_LVL64,Footnote symbol"/>
    <w:unhideWhenUsed/>
    <w:rsid w:val="00716D38"/>
    <w:rPr>
      <w:vertAlign w:val="superscript"/>
    </w:rPr>
  </w:style>
  <w:style w:type="paragraph" w:styleId="BalloonText">
    <w:name w:val="Balloon Text"/>
    <w:basedOn w:val="Normal"/>
    <w:link w:val="BalloonTextChar"/>
    <w:uiPriority w:val="99"/>
    <w:semiHidden/>
    <w:unhideWhenUsed/>
    <w:rsid w:val="00E946FC"/>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946FC"/>
    <w:rPr>
      <w:rFonts w:ascii="Tahoma" w:hAnsi="Tahoma" w:cs="Tahoma"/>
      <w:sz w:val="16"/>
      <w:szCs w:val="16"/>
    </w:rPr>
  </w:style>
  <w:style w:type="character" w:styleId="CommentReference">
    <w:name w:val="annotation reference"/>
    <w:uiPriority w:val="99"/>
    <w:semiHidden/>
    <w:unhideWhenUsed/>
    <w:rsid w:val="00225F96"/>
    <w:rPr>
      <w:sz w:val="16"/>
      <w:szCs w:val="16"/>
    </w:rPr>
  </w:style>
  <w:style w:type="paragraph" w:styleId="CommentText">
    <w:name w:val="annotation text"/>
    <w:basedOn w:val="Normal"/>
    <w:link w:val="CommentTextChar"/>
    <w:uiPriority w:val="99"/>
    <w:semiHidden/>
    <w:unhideWhenUsed/>
    <w:rsid w:val="00225F96"/>
    <w:rPr>
      <w:sz w:val="20"/>
      <w:szCs w:val="20"/>
    </w:rPr>
  </w:style>
  <w:style w:type="character" w:customStyle="1" w:styleId="CommentTextChar">
    <w:name w:val="Comment Text Char"/>
    <w:link w:val="CommentText"/>
    <w:uiPriority w:val="99"/>
    <w:semiHidden/>
    <w:rsid w:val="00225F96"/>
    <w:rPr>
      <w:lang w:eastAsia="en-US"/>
    </w:rPr>
  </w:style>
  <w:style w:type="paragraph" w:styleId="CommentSubject">
    <w:name w:val="annotation subject"/>
    <w:basedOn w:val="CommentText"/>
    <w:next w:val="CommentText"/>
    <w:link w:val="CommentSubjectChar"/>
    <w:uiPriority w:val="99"/>
    <w:semiHidden/>
    <w:unhideWhenUsed/>
    <w:rsid w:val="00225F96"/>
    <w:rPr>
      <w:b/>
      <w:bCs/>
    </w:rPr>
  </w:style>
  <w:style w:type="character" w:customStyle="1" w:styleId="CommentSubjectChar">
    <w:name w:val="Comment Subject Char"/>
    <w:link w:val="CommentSubject"/>
    <w:uiPriority w:val="99"/>
    <w:semiHidden/>
    <w:rsid w:val="00225F96"/>
    <w:rPr>
      <w:b/>
      <w:bCs/>
      <w:lang w:eastAsia="en-US"/>
    </w:rPr>
  </w:style>
  <w:style w:type="paragraph" w:styleId="Header">
    <w:name w:val="header"/>
    <w:basedOn w:val="Normal"/>
    <w:link w:val="HeaderChar"/>
    <w:uiPriority w:val="99"/>
    <w:unhideWhenUsed/>
    <w:rsid w:val="006E4393"/>
    <w:pPr>
      <w:tabs>
        <w:tab w:val="center" w:pos="4513"/>
        <w:tab w:val="right" w:pos="9026"/>
      </w:tabs>
    </w:pPr>
  </w:style>
  <w:style w:type="character" w:customStyle="1" w:styleId="HeaderChar">
    <w:name w:val="Header Char"/>
    <w:link w:val="Header"/>
    <w:uiPriority w:val="99"/>
    <w:rsid w:val="006E4393"/>
    <w:rPr>
      <w:sz w:val="22"/>
      <w:szCs w:val="22"/>
      <w:lang w:eastAsia="en-US"/>
    </w:rPr>
  </w:style>
  <w:style w:type="paragraph" w:styleId="Footer">
    <w:name w:val="footer"/>
    <w:basedOn w:val="Normal"/>
    <w:link w:val="FooterChar"/>
    <w:uiPriority w:val="99"/>
    <w:unhideWhenUsed/>
    <w:rsid w:val="006E4393"/>
    <w:pPr>
      <w:tabs>
        <w:tab w:val="center" w:pos="4513"/>
        <w:tab w:val="right" w:pos="9026"/>
      </w:tabs>
    </w:pPr>
  </w:style>
  <w:style w:type="character" w:customStyle="1" w:styleId="FooterChar">
    <w:name w:val="Footer Char"/>
    <w:link w:val="Footer"/>
    <w:uiPriority w:val="99"/>
    <w:rsid w:val="006E4393"/>
    <w:rPr>
      <w:sz w:val="22"/>
      <w:szCs w:val="22"/>
      <w:lang w:eastAsia="en-US"/>
    </w:rPr>
  </w:style>
  <w:style w:type="paragraph" w:styleId="ListParagraph">
    <w:name w:val="List Paragraph"/>
    <w:basedOn w:val="Normal"/>
    <w:uiPriority w:val="34"/>
    <w:qFormat/>
    <w:rsid w:val="002105BA"/>
    <w:pPr>
      <w:ind w:left="720"/>
      <w:contextualSpacing/>
    </w:pPr>
  </w:style>
  <w:style w:type="paragraph" w:customStyle="1" w:styleId="CF902Heading1">
    <w:name w:val="CF902 Heading 1"/>
    <w:basedOn w:val="Heading1"/>
    <w:autoRedefine/>
    <w:rsid w:val="00893739"/>
    <w:pPr>
      <w:numPr>
        <w:numId w:val="1"/>
      </w:numPr>
      <w:spacing w:before="360" w:after="360" w:line="240" w:lineRule="auto"/>
      <w:jc w:val="center"/>
    </w:pPr>
    <w:rPr>
      <w:rFonts w:ascii="Arial" w:hAnsi="Arial" w:cs="Arial"/>
      <w:lang w:eastAsia="es-ES"/>
    </w:rPr>
  </w:style>
  <w:style w:type="table" w:styleId="TableGrid">
    <w:name w:val="Table Grid"/>
    <w:basedOn w:val="TableNormal"/>
    <w:uiPriority w:val="59"/>
    <w:rsid w:val="00BC710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unhideWhenUsed/>
    <w:rsid w:val="00974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olor w:val="000000"/>
      <w:sz w:val="20"/>
      <w:szCs w:val="20"/>
    </w:rPr>
  </w:style>
  <w:style w:type="character" w:customStyle="1" w:styleId="HTMLPreformattedChar">
    <w:name w:val="HTML Preformatted Char"/>
    <w:link w:val="HTMLPreformatted"/>
    <w:uiPriority w:val="99"/>
    <w:semiHidden/>
    <w:rsid w:val="00974237"/>
    <w:rPr>
      <w:rFonts w:ascii="Courier New" w:eastAsia="Times New Roman" w:hAnsi="Courier New" w:cs="Courier New"/>
      <w:color w:val="000000"/>
    </w:rPr>
  </w:style>
  <w:style w:type="character" w:customStyle="1" w:styleId="apple-converted-space">
    <w:name w:val="apple-converted-space"/>
    <w:basedOn w:val="DefaultParagraphFont"/>
    <w:rsid w:val="00974237"/>
  </w:style>
  <w:style w:type="paragraph" w:styleId="DocumentMap">
    <w:name w:val="Document Map"/>
    <w:basedOn w:val="Normal"/>
    <w:link w:val="DocumentMapChar"/>
    <w:uiPriority w:val="99"/>
    <w:semiHidden/>
    <w:unhideWhenUsed/>
    <w:rsid w:val="005D736A"/>
    <w:rPr>
      <w:rFonts w:ascii="Tahoma" w:hAnsi="Tahoma"/>
      <w:sz w:val="16"/>
      <w:szCs w:val="16"/>
    </w:rPr>
  </w:style>
  <w:style w:type="character" w:customStyle="1" w:styleId="DocumentMapChar">
    <w:name w:val="Document Map Char"/>
    <w:link w:val="DocumentMap"/>
    <w:uiPriority w:val="99"/>
    <w:semiHidden/>
    <w:rsid w:val="005D736A"/>
    <w:rPr>
      <w:rFonts w:ascii="Tahoma" w:hAnsi="Tahoma" w:cs="Tahoma"/>
      <w:sz w:val="16"/>
      <w:szCs w:val="16"/>
      <w:lang w:eastAsia="en-US"/>
    </w:rPr>
  </w:style>
  <w:style w:type="paragraph" w:styleId="Title">
    <w:name w:val="Title"/>
    <w:basedOn w:val="Normal"/>
    <w:link w:val="TitleChar"/>
    <w:qFormat/>
    <w:rsid w:val="00CC76D1"/>
    <w:pPr>
      <w:spacing w:after="0" w:line="240" w:lineRule="auto"/>
      <w:jc w:val="center"/>
    </w:pPr>
    <w:rPr>
      <w:rFonts w:ascii="Times New Roman" w:eastAsia="Times New Roman" w:hAnsi="Times New Roman"/>
      <w:b/>
      <w:bCs/>
      <w:sz w:val="32"/>
      <w:szCs w:val="24"/>
      <w:lang w:eastAsia="es-ES"/>
    </w:rPr>
  </w:style>
  <w:style w:type="character" w:customStyle="1" w:styleId="TitleChar">
    <w:name w:val="Title Char"/>
    <w:link w:val="Title"/>
    <w:rsid w:val="00CC76D1"/>
    <w:rPr>
      <w:rFonts w:ascii="Times New Roman" w:eastAsia="Times New Roman" w:hAnsi="Times New Roman"/>
      <w:b/>
      <w:bCs/>
      <w:sz w:val="32"/>
      <w:szCs w:val="24"/>
      <w:lang w:eastAsia="es-ES"/>
    </w:rPr>
  </w:style>
  <w:style w:type="paragraph" w:customStyle="1" w:styleId="Default">
    <w:name w:val="Default"/>
    <w:rsid w:val="00A2552F"/>
    <w:pPr>
      <w:autoSpaceDE w:val="0"/>
      <w:autoSpaceDN w:val="0"/>
      <w:adjustRightInd w:val="0"/>
    </w:pPr>
    <w:rPr>
      <w:rFonts w:ascii="Arial" w:hAnsi="Arial" w:cs="Arial"/>
      <w:color w:val="000000"/>
      <w:sz w:val="24"/>
      <w:szCs w:val="24"/>
    </w:rPr>
  </w:style>
  <w:style w:type="paragraph" w:customStyle="1" w:styleId="unexpected-li">
    <w:name w:val="unexpected-li"/>
    <w:basedOn w:val="Normal"/>
    <w:rsid w:val="00F453FE"/>
    <w:pPr>
      <w:spacing w:before="100" w:beforeAutospacing="1" w:after="100" w:afterAutospacing="1" w:line="240" w:lineRule="auto"/>
    </w:pPr>
    <w:rPr>
      <w:rFonts w:ascii="Times New Roman" w:eastAsia="Times New Roman" w:hAnsi="Times New Roman"/>
      <w:color w:val="000000"/>
      <w:sz w:val="24"/>
      <w:szCs w:val="24"/>
      <w:lang w:eastAsia="en-GB"/>
    </w:rPr>
  </w:style>
  <w:style w:type="paragraph" w:customStyle="1" w:styleId="unexpected-lbody">
    <w:name w:val="unexpected-lbody"/>
    <w:basedOn w:val="Normal"/>
    <w:rsid w:val="00F453FE"/>
    <w:pPr>
      <w:spacing w:before="100" w:beforeAutospacing="1" w:after="100" w:afterAutospacing="1" w:line="240" w:lineRule="auto"/>
    </w:pPr>
    <w:rPr>
      <w:rFonts w:ascii="Times New Roman" w:eastAsia="Times New Roman" w:hAnsi="Times New Roman"/>
      <w:color w:val="000000"/>
      <w:sz w:val="24"/>
      <w:szCs w:val="24"/>
      <w:lang w:eastAsia="en-GB"/>
    </w:rPr>
  </w:style>
  <w:style w:type="paragraph" w:customStyle="1" w:styleId="Stylepaper-maintext">
    <w:name w:val="Style paper - main text"/>
    <w:basedOn w:val="Normal"/>
    <w:rsid w:val="00A562E7"/>
    <w:pPr>
      <w:spacing w:after="100" w:afterAutospacing="1" w:line="240" w:lineRule="auto"/>
      <w:jc w:val="both"/>
    </w:pPr>
    <w:rPr>
      <w:rFonts w:ascii="Times New Roman" w:eastAsia="SimSun" w:hAnsi="Times New Roman"/>
      <w:sz w:val="24"/>
      <w:szCs w:val="24"/>
      <w:lang w:eastAsia="en-GB"/>
    </w:rPr>
  </w:style>
  <w:style w:type="paragraph" w:customStyle="1" w:styleId="CharChar2CharCharCharChar">
    <w:name w:val="Char Char2 Char Char Char Char"/>
    <w:basedOn w:val="Normal"/>
    <w:rsid w:val="00A562E7"/>
    <w:pPr>
      <w:spacing w:after="160" w:line="240" w:lineRule="exact"/>
    </w:pPr>
    <w:rPr>
      <w:rFonts w:ascii="Tahoma" w:eastAsia="Times New Roman" w:hAnsi="Tahoma"/>
      <w:sz w:val="20"/>
      <w:szCs w:val="20"/>
      <w:lang w:val="en-US"/>
    </w:rPr>
  </w:style>
  <w:style w:type="paragraph" w:styleId="BodyText">
    <w:name w:val="Body Text"/>
    <w:basedOn w:val="Normal"/>
    <w:link w:val="BodyTextChar"/>
    <w:rsid w:val="006E3B52"/>
    <w:pPr>
      <w:spacing w:after="0" w:line="240" w:lineRule="auto"/>
    </w:pPr>
    <w:rPr>
      <w:rFonts w:ascii="Times New Roman" w:eastAsia="SimSun" w:hAnsi="Times New Roman"/>
      <w:szCs w:val="24"/>
      <w:lang w:eastAsia="es-ES"/>
    </w:rPr>
  </w:style>
  <w:style w:type="character" w:customStyle="1" w:styleId="BodyTextChar">
    <w:name w:val="Body Text Char"/>
    <w:link w:val="BodyText"/>
    <w:rsid w:val="006E3B52"/>
    <w:rPr>
      <w:rFonts w:ascii="Times New Roman" w:eastAsia="SimSun" w:hAnsi="Times New Roman"/>
      <w:sz w:val="22"/>
      <w:szCs w:val="24"/>
      <w:lang w:eastAsia="es-ES"/>
    </w:rPr>
  </w:style>
  <w:style w:type="paragraph" w:styleId="Caption">
    <w:name w:val="caption"/>
    <w:basedOn w:val="Normal"/>
    <w:next w:val="Normal"/>
    <w:uiPriority w:val="35"/>
    <w:unhideWhenUsed/>
    <w:qFormat/>
    <w:rsid w:val="009B6FCE"/>
    <w:rPr>
      <w:b/>
      <w:bCs/>
      <w:sz w:val="20"/>
      <w:szCs w:val="20"/>
    </w:rPr>
  </w:style>
  <w:style w:type="character" w:styleId="FollowedHyperlink">
    <w:name w:val="FollowedHyperlink"/>
    <w:uiPriority w:val="99"/>
    <w:semiHidden/>
    <w:unhideWhenUsed/>
    <w:rsid w:val="00040529"/>
    <w:rPr>
      <w:color w:val="800080"/>
      <w:u w:val="single"/>
    </w:rPr>
  </w:style>
  <w:style w:type="character" w:styleId="PlaceholderText">
    <w:name w:val="Placeholder Text"/>
    <w:basedOn w:val="DefaultParagraphFont"/>
    <w:uiPriority w:val="99"/>
    <w:semiHidden/>
    <w:rsid w:val="00C36DB0"/>
    <w:rPr>
      <w:color w:val="808080"/>
    </w:rPr>
  </w:style>
  <w:style w:type="character" w:styleId="Strong">
    <w:name w:val="Strong"/>
    <w:basedOn w:val="DefaultParagraphFont"/>
    <w:uiPriority w:val="22"/>
    <w:qFormat/>
    <w:rsid w:val="008A48BC"/>
    <w:rPr>
      <w:b/>
      <w:bCs/>
    </w:rPr>
  </w:style>
  <w:style w:type="character" w:styleId="Emphasis">
    <w:name w:val="Emphasis"/>
    <w:basedOn w:val="DefaultParagraphFont"/>
    <w:uiPriority w:val="20"/>
    <w:qFormat/>
    <w:rsid w:val="006B5C33"/>
    <w:rPr>
      <w:i/>
      <w:iCs/>
    </w:rPr>
  </w:style>
  <w:style w:type="paragraph" w:customStyle="1" w:styleId="FSRmaintext">
    <w:name w:val="FSR main text"/>
    <w:basedOn w:val="BodyText"/>
    <w:link w:val="FSRmaintextChar1"/>
    <w:rsid w:val="005F2F7C"/>
    <w:pPr>
      <w:spacing w:after="120" w:line="280" w:lineRule="atLeast"/>
      <w:jc w:val="both"/>
    </w:pPr>
    <w:rPr>
      <w:lang w:eastAsia="en-GB"/>
    </w:rPr>
  </w:style>
  <w:style w:type="character" w:customStyle="1" w:styleId="FSRmaintextChar1">
    <w:name w:val="FSR main text Char1"/>
    <w:basedOn w:val="DefaultParagraphFont"/>
    <w:link w:val="FSRmaintext"/>
    <w:rsid w:val="005F2F7C"/>
    <w:rPr>
      <w:rFonts w:ascii="Times New Roman" w:eastAsia="SimSun" w:hAnsi="Times New Roman"/>
      <w:sz w:val="22"/>
      <w:szCs w:val="24"/>
    </w:rPr>
  </w:style>
  <w:style w:type="paragraph" w:styleId="NoSpacing">
    <w:name w:val="No Spacing"/>
    <w:uiPriority w:val="1"/>
    <w:qFormat/>
    <w:rsid w:val="00302995"/>
    <w:rPr>
      <w:rFonts w:asciiTheme="minorHAnsi" w:eastAsiaTheme="minorHAnsi" w:hAnsiTheme="minorHAnsi" w:cstheme="minorBidi"/>
      <w:sz w:val="22"/>
      <w:szCs w:val="22"/>
      <w:lang w:eastAsia="en-US"/>
    </w:rPr>
  </w:style>
  <w:style w:type="paragraph" w:styleId="Revision">
    <w:name w:val="Revision"/>
    <w:hidden/>
    <w:uiPriority w:val="99"/>
    <w:semiHidden/>
    <w:rsid w:val="0027237A"/>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44C0"/>
    <w:pPr>
      <w:spacing w:after="200" w:line="276" w:lineRule="auto"/>
    </w:pPr>
    <w:rPr>
      <w:sz w:val="22"/>
      <w:szCs w:val="22"/>
      <w:lang w:eastAsia="en-US"/>
    </w:rPr>
  </w:style>
  <w:style w:type="paragraph" w:styleId="Heading1">
    <w:name w:val="heading 1"/>
    <w:basedOn w:val="Normal"/>
    <w:next w:val="Normal"/>
    <w:link w:val="Heading1Char"/>
    <w:uiPriority w:val="9"/>
    <w:qFormat/>
    <w:rsid w:val="00893739"/>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qFormat/>
    <w:rsid w:val="00893739"/>
    <w:pPr>
      <w:keepNext/>
      <w:numPr>
        <w:ilvl w:val="1"/>
        <w:numId w:val="1"/>
      </w:numPr>
      <w:spacing w:before="240" w:after="60" w:line="240" w:lineRule="auto"/>
      <w:jc w:val="both"/>
      <w:outlineLvl w:val="1"/>
    </w:pPr>
    <w:rPr>
      <w:rFonts w:ascii="Arial" w:eastAsia="Times New Roman" w:hAnsi="Arial"/>
      <w:b/>
      <w:bCs/>
      <w:i/>
      <w:iCs/>
      <w:sz w:val="28"/>
      <w:szCs w:val="28"/>
      <w:lang w:eastAsia="es-ES"/>
    </w:rPr>
  </w:style>
  <w:style w:type="paragraph" w:styleId="Heading3">
    <w:name w:val="heading 3"/>
    <w:basedOn w:val="Normal"/>
    <w:next w:val="Normal"/>
    <w:link w:val="Heading3Char"/>
    <w:qFormat/>
    <w:rsid w:val="00893739"/>
    <w:pPr>
      <w:keepNext/>
      <w:numPr>
        <w:ilvl w:val="2"/>
        <w:numId w:val="1"/>
      </w:numPr>
      <w:spacing w:before="240" w:after="60" w:line="240" w:lineRule="auto"/>
      <w:jc w:val="both"/>
      <w:outlineLvl w:val="2"/>
    </w:pPr>
    <w:rPr>
      <w:rFonts w:ascii="Arial" w:eastAsia="Times New Roman" w:hAnsi="Arial"/>
      <w:b/>
      <w:bCs/>
      <w:sz w:val="26"/>
      <w:szCs w:val="26"/>
      <w:lang w:eastAsia="es-ES"/>
    </w:rPr>
  </w:style>
  <w:style w:type="paragraph" w:styleId="Heading4">
    <w:name w:val="heading 4"/>
    <w:basedOn w:val="Normal"/>
    <w:next w:val="Normal"/>
    <w:link w:val="Heading4Char"/>
    <w:qFormat/>
    <w:rsid w:val="00893739"/>
    <w:pPr>
      <w:keepNext/>
      <w:numPr>
        <w:ilvl w:val="3"/>
        <w:numId w:val="1"/>
      </w:numPr>
      <w:spacing w:before="240" w:after="60" w:line="240" w:lineRule="auto"/>
      <w:jc w:val="both"/>
      <w:outlineLvl w:val="3"/>
    </w:pPr>
    <w:rPr>
      <w:rFonts w:ascii="Times New Roman" w:eastAsia="Times New Roman" w:hAnsi="Times New Roman"/>
      <w:b/>
      <w:bCs/>
      <w:sz w:val="28"/>
      <w:szCs w:val="28"/>
      <w:lang w:eastAsia="es-ES"/>
    </w:rPr>
  </w:style>
  <w:style w:type="paragraph" w:styleId="Heading5">
    <w:name w:val="heading 5"/>
    <w:basedOn w:val="Normal"/>
    <w:next w:val="Normal"/>
    <w:link w:val="Heading5Char"/>
    <w:qFormat/>
    <w:rsid w:val="00893739"/>
    <w:pPr>
      <w:keepNext/>
      <w:numPr>
        <w:ilvl w:val="4"/>
        <w:numId w:val="1"/>
      </w:numPr>
      <w:spacing w:before="240" w:after="60" w:line="240" w:lineRule="auto"/>
      <w:jc w:val="both"/>
      <w:outlineLvl w:val="4"/>
    </w:pPr>
    <w:rPr>
      <w:rFonts w:ascii="Times New Roman" w:eastAsia="Times New Roman" w:hAnsi="Times New Roman"/>
      <w:b/>
      <w:bCs/>
      <w:i/>
      <w:iCs/>
      <w:sz w:val="26"/>
      <w:szCs w:val="26"/>
      <w:lang w:eastAsia="es-ES"/>
    </w:rPr>
  </w:style>
  <w:style w:type="paragraph" w:styleId="Heading6">
    <w:name w:val="heading 6"/>
    <w:basedOn w:val="Normal"/>
    <w:next w:val="Normal"/>
    <w:link w:val="Heading6Char"/>
    <w:qFormat/>
    <w:rsid w:val="00893739"/>
    <w:pPr>
      <w:numPr>
        <w:ilvl w:val="5"/>
        <w:numId w:val="1"/>
      </w:numPr>
      <w:spacing w:before="240" w:after="60" w:line="240" w:lineRule="auto"/>
      <w:jc w:val="both"/>
      <w:outlineLvl w:val="5"/>
    </w:pPr>
    <w:rPr>
      <w:rFonts w:ascii="Times New Roman" w:eastAsia="Times New Roman" w:hAnsi="Times New Roman"/>
      <w:b/>
      <w:bCs/>
      <w:lang w:eastAsia="es-ES"/>
    </w:rPr>
  </w:style>
  <w:style w:type="paragraph" w:styleId="Heading7">
    <w:name w:val="heading 7"/>
    <w:basedOn w:val="Normal"/>
    <w:next w:val="Normal"/>
    <w:link w:val="Heading7Char"/>
    <w:qFormat/>
    <w:rsid w:val="00893739"/>
    <w:pPr>
      <w:numPr>
        <w:ilvl w:val="6"/>
        <w:numId w:val="1"/>
      </w:numPr>
      <w:spacing w:before="240" w:after="60" w:line="240" w:lineRule="auto"/>
      <w:jc w:val="both"/>
      <w:outlineLvl w:val="6"/>
    </w:pPr>
    <w:rPr>
      <w:rFonts w:ascii="Times New Roman" w:eastAsia="Times New Roman" w:hAnsi="Times New Roman"/>
      <w:sz w:val="24"/>
      <w:szCs w:val="24"/>
      <w:lang w:eastAsia="es-ES"/>
    </w:rPr>
  </w:style>
  <w:style w:type="paragraph" w:styleId="Heading8">
    <w:name w:val="heading 8"/>
    <w:basedOn w:val="Normal"/>
    <w:next w:val="Normal"/>
    <w:link w:val="Heading8Char"/>
    <w:qFormat/>
    <w:rsid w:val="00893739"/>
    <w:pPr>
      <w:numPr>
        <w:ilvl w:val="7"/>
        <w:numId w:val="1"/>
      </w:numPr>
      <w:spacing w:before="240" w:after="60" w:line="240" w:lineRule="auto"/>
      <w:jc w:val="both"/>
      <w:outlineLvl w:val="7"/>
    </w:pPr>
    <w:rPr>
      <w:rFonts w:ascii="Times New Roman" w:eastAsia="Times New Roman" w:hAnsi="Times New Roman"/>
      <w:i/>
      <w:iCs/>
      <w:sz w:val="24"/>
      <w:szCs w:val="24"/>
      <w:lang w:eastAsia="es-ES"/>
    </w:rPr>
  </w:style>
  <w:style w:type="paragraph" w:styleId="Heading9">
    <w:name w:val="heading 9"/>
    <w:basedOn w:val="Normal"/>
    <w:next w:val="Normal"/>
    <w:link w:val="Heading9Char"/>
    <w:qFormat/>
    <w:rsid w:val="00893739"/>
    <w:pPr>
      <w:numPr>
        <w:ilvl w:val="8"/>
        <w:numId w:val="1"/>
      </w:numPr>
      <w:spacing w:before="240" w:after="60" w:line="240" w:lineRule="auto"/>
      <w:jc w:val="both"/>
      <w:outlineLvl w:val="8"/>
    </w:pPr>
    <w:rPr>
      <w:rFonts w:ascii="Arial" w:eastAsia="Times New Roman" w:hAnsi="Arial"/>
      <w:lang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93739"/>
    <w:rPr>
      <w:rFonts w:ascii="Cambria" w:eastAsia="Times New Roman" w:hAnsi="Cambria" w:cs="Times New Roman"/>
      <w:b/>
      <w:bCs/>
      <w:kern w:val="32"/>
      <w:sz w:val="32"/>
      <w:szCs w:val="32"/>
      <w:lang w:eastAsia="en-US"/>
    </w:rPr>
  </w:style>
  <w:style w:type="character" w:customStyle="1" w:styleId="Heading2Char">
    <w:name w:val="Heading 2 Char"/>
    <w:link w:val="Heading2"/>
    <w:rsid w:val="00893739"/>
    <w:rPr>
      <w:rFonts w:ascii="Arial" w:eastAsia="Times New Roman" w:hAnsi="Arial" w:cs="Arial"/>
      <w:b/>
      <w:bCs/>
      <w:i/>
      <w:iCs/>
      <w:sz w:val="28"/>
      <w:szCs w:val="28"/>
      <w:lang w:eastAsia="es-ES"/>
    </w:rPr>
  </w:style>
  <w:style w:type="character" w:customStyle="1" w:styleId="Heading3Char">
    <w:name w:val="Heading 3 Char"/>
    <w:link w:val="Heading3"/>
    <w:rsid w:val="00893739"/>
    <w:rPr>
      <w:rFonts w:ascii="Arial" w:eastAsia="Times New Roman" w:hAnsi="Arial" w:cs="Arial"/>
      <w:b/>
      <w:bCs/>
      <w:sz w:val="26"/>
      <w:szCs w:val="26"/>
      <w:lang w:eastAsia="es-ES"/>
    </w:rPr>
  </w:style>
  <w:style w:type="character" w:customStyle="1" w:styleId="Heading4Char">
    <w:name w:val="Heading 4 Char"/>
    <w:link w:val="Heading4"/>
    <w:rsid w:val="00893739"/>
    <w:rPr>
      <w:rFonts w:ascii="Times New Roman" w:eastAsia="Times New Roman" w:hAnsi="Times New Roman"/>
      <w:b/>
      <w:bCs/>
      <w:sz w:val="28"/>
      <w:szCs w:val="28"/>
      <w:lang w:eastAsia="es-ES"/>
    </w:rPr>
  </w:style>
  <w:style w:type="character" w:customStyle="1" w:styleId="Heading5Char">
    <w:name w:val="Heading 5 Char"/>
    <w:link w:val="Heading5"/>
    <w:rsid w:val="00893739"/>
    <w:rPr>
      <w:rFonts w:ascii="Times New Roman" w:eastAsia="Times New Roman" w:hAnsi="Times New Roman"/>
      <w:b/>
      <w:bCs/>
      <w:i/>
      <w:iCs/>
      <w:sz w:val="26"/>
      <w:szCs w:val="26"/>
      <w:lang w:eastAsia="es-ES"/>
    </w:rPr>
  </w:style>
  <w:style w:type="character" w:customStyle="1" w:styleId="Heading6Char">
    <w:name w:val="Heading 6 Char"/>
    <w:link w:val="Heading6"/>
    <w:rsid w:val="00893739"/>
    <w:rPr>
      <w:rFonts w:ascii="Times New Roman" w:eastAsia="Times New Roman" w:hAnsi="Times New Roman"/>
      <w:b/>
      <w:bCs/>
      <w:sz w:val="22"/>
      <w:szCs w:val="22"/>
      <w:lang w:eastAsia="es-ES"/>
    </w:rPr>
  </w:style>
  <w:style w:type="character" w:customStyle="1" w:styleId="Heading7Char">
    <w:name w:val="Heading 7 Char"/>
    <w:link w:val="Heading7"/>
    <w:rsid w:val="00893739"/>
    <w:rPr>
      <w:rFonts w:ascii="Times New Roman" w:eastAsia="Times New Roman" w:hAnsi="Times New Roman"/>
      <w:sz w:val="24"/>
      <w:szCs w:val="24"/>
      <w:lang w:eastAsia="es-ES"/>
    </w:rPr>
  </w:style>
  <w:style w:type="character" w:customStyle="1" w:styleId="Heading8Char">
    <w:name w:val="Heading 8 Char"/>
    <w:link w:val="Heading8"/>
    <w:rsid w:val="00893739"/>
    <w:rPr>
      <w:rFonts w:ascii="Times New Roman" w:eastAsia="Times New Roman" w:hAnsi="Times New Roman"/>
      <w:i/>
      <w:iCs/>
      <w:sz w:val="24"/>
      <w:szCs w:val="24"/>
      <w:lang w:eastAsia="es-ES"/>
    </w:rPr>
  </w:style>
  <w:style w:type="character" w:customStyle="1" w:styleId="Heading9Char">
    <w:name w:val="Heading 9 Char"/>
    <w:link w:val="Heading9"/>
    <w:rsid w:val="00893739"/>
    <w:rPr>
      <w:rFonts w:ascii="Arial" w:eastAsia="Times New Roman" w:hAnsi="Arial" w:cs="Arial"/>
      <w:sz w:val="22"/>
      <w:szCs w:val="22"/>
      <w:lang w:eastAsia="es-ES"/>
    </w:rPr>
  </w:style>
  <w:style w:type="character" w:styleId="Hyperlink">
    <w:name w:val="Hyperlink"/>
    <w:unhideWhenUsed/>
    <w:rsid w:val="00B611BA"/>
    <w:rPr>
      <w:color w:val="0000FF"/>
      <w:u w:val="single"/>
    </w:rPr>
  </w:style>
  <w:style w:type="paragraph" w:styleId="NormalWeb">
    <w:name w:val="Normal (Web)"/>
    <w:basedOn w:val="Normal"/>
    <w:uiPriority w:val="99"/>
    <w:unhideWhenUsed/>
    <w:rsid w:val="00C8004E"/>
    <w:rPr>
      <w:rFonts w:ascii="Times New Roman" w:hAnsi="Times New Roman"/>
      <w:sz w:val="24"/>
      <w:szCs w:val="24"/>
    </w:rPr>
  </w:style>
  <w:style w:type="paragraph" w:styleId="FootnoteText">
    <w:name w:val="footnote text"/>
    <w:aliases w:val="FSR footnote,Footnote,Fußnote,lábléc,Footnote Text Char Char,Schriftart: 9 pt,Schriftart: 10 pt,Schriftart: 8 pt,WB-Fußnotentext,fn,Footnotes,Footnote ak,Char,foot note text,Footnote Text Char2,Footnote Text Char1 Char"/>
    <w:basedOn w:val="Normal"/>
    <w:link w:val="FootnoteTextChar"/>
    <w:uiPriority w:val="99"/>
    <w:unhideWhenUsed/>
    <w:rsid w:val="00716D38"/>
    <w:pPr>
      <w:spacing w:after="0" w:line="240" w:lineRule="auto"/>
    </w:pPr>
    <w:rPr>
      <w:sz w:val="20"/>
      <w:szCs w:val="20"/>
    </w:rPr>
  </w:style>
  <w:style w:type="character" w:customStyle="1" w:styleId="FootnoteTextChar">
    <w:name w:val="Footnote Text Char"/>
    <w:aliases w:val="FSR footnote Char,Footnote Char,Fußnote Char,lábléc Char,Footnote Text Char Char Char,Schriftart: 9 pt Char,Schriftart: 10 pt Char,Schriftart: 8 pt Char,WB-Fußnotentext Char,fn Char,Footnotes Char,Footnote ak Char,Char Char"/>
    <w:link w:val="FootnoteText"/>
    <w:uiPriority w:val="99"/>
    <w:rsid w:val="00716D38"/>
    <w:rPr>
      <w:sz w:val="20"/>
      <w:szCs w:val="20"/>
    </w:rPr>
  </w:style>
  <w:style w:type="character" w:styleId="FootnoteReference">
    <w:name w:val="footnote reference"/>
    <w:aliases w:val="Footnote Reference Number,Footnote Reference_LVL6,Footnote Reference_LVL61,Footnote Reference_LVL62,Footnote Reference_LVL63,Footnote Reference_LVL64,Footnote symbol"/>
    <w:unhideWhenUsed/>
    <w:rsid w:val="00716D38"/>
    <w:rPr>
      <w:vertAlign w:val="superscript"/>
    </w:rPr>
  </w:style>
  <w:style w:type="paragraph" w:styleId="BalloonText">
    <w:name w:val="Balloon Text"/>
    <w:basedOn w:val="Normal"/>
    <w:link w:val="BalloonTextChar"/>
    <w:uiPriority w:val="99"/>
    <w:semiHidden/>
    <w:unhideWhenUsed/>
    <w:rsid w:val="00E946FC"/>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946FC"/>
    <w:rPr>
      <w:rFonts w:ascii="Tahoma" w:hAnsi="Tahoma" w:cs="Tahoma"/>
      <w:sz w:val="16"/>
      <w:szCs w:val="16"/>
    </w:rPr>
  </w:style>
  <w:style w:type="character" w:styleId="CommentReference">
    <w:name w:val="annotation reference"/>
    <w:uiPriority w:val="99"/>
    <w:semiHidden/>
    <w:unhideWhenUsed/>
    <w:rsid w:val="00225F96"/>
    <w:rPr>
      <w:sz w:val="16"/>
      <w:szCs w:val="16"/>
    </w:rPr>
  </w:style>
  <w:style w:type="paragraph" w:styleId="CommentText">
    <w:name w:val="annotation text"/>
    <w:basedOn w:val="Normal"/>
    <w:link w:val="CommentTextChar"/>
    <w:uiPriority w:val="99"/>
    <w:semiHidden/>
    <w:unhideWhenUsed/>
    <w:rsid w:val="00225F96"/>
    <w:rPr>
      <w:sz w:val="20"/>
      <w:szCs w:val="20"/>
    </w:rPr>
  </w:style>
  <w:style w:type="character" w:customStyle="1" w:styleId="CommentTextChar">
    <w:name w:val="Comment Text Char"/>
    <w:link w:val="CommentText"/>
    <w:uiPriority w:val="99"/>
    <w:semiHidden/>
    <w:rsid w:val="00225F96"/>
    <w:rPr>
      <w:lang w:eastAsia="en-US"/>
    </w:rPr>
  </w:style>
  <w:style w:type="paragraph" w:styleId="CommentSubject">
    <w:name w:val="annotation subject"/>
    <w:basedOn w:val="CommentText"/>
    <w:next w:val="CommentText"/>
    <w:link w:val="CommentSubjectChar"/>
    <w:uiPriority w:val="99"/>
    <w:semiHidden/>
    <w:unhideWhenUsed/>
    <w:rsid w:val="00225F96"/>
    <w:rPr>
      <w:b/>
      <w:bCs/>
    </w:rPr>
  </w:style>
  <w:style w:type="character" w:customStyle="1" w:styleId="CommentSubjectChar">
    <w:name w:val="Comment Subject Char"/>
    <w:link w:val="CommentSubject"/>
    <w:uiPriority w:val="99"/>
    <w:semiHidden/>
    <w:rsid w:val="00225F96"/>
    <w:rPr>
      <w:b/>
      <w:bCs/>
      <w:lang w:eastAsia="en-US"/>
    </w:rPr>
  </w:style>
  <w:style w:type="paragraph" w:styleId="Header">
    <w:name w:val="header"/>
    <w:basedOn w:val="Normal"/>
    <w:link w:val="HeaderChar"/>
    <w:uiPriority w:val="99"/>
    <w:unhideWhenUsed/>
    <w:rsid w:val="006E4393"/>
    <w:pPr>
      <w:tabs>
        <w:tab w:val="center" w:pos="4513"/>
        <w:tab w:val="right" w:pos="9026"/>
      </w:tabs>
    </w:pPr>
  </w:style>
  <w:style w:type="character" w:customStyle="1" w:styleId="HeaderChar">
    <w:name w:val="Header Char"/>
    <w:link w:val="Header"/>
    <w:uiPriority w:val="99"/>
    <w:rsid w:val="006E4393"/>
    <w:rPr>
      <w:sz w:val="22"/>
      <w:szCs w:val="22"/>
      <w:lang w:eastAsia="en-US"/>
    </w:rPr>
  </w:style>
  <w:style w:type="paragraph" w:styleId="Footer">
    <w:name w:val="footer"/>
    <w:basedOn w:val="Normal"/>
    <w:link w:val="FooterChar"/>
    <w:uiPriority w:val="99"/>
    <w:unhideWhenUsed/>
    <w:rsid w:val="006E4393"/>
    <w:pPr>
      <w:tabs>
        <w:tab w:val="center" w:pos="4513"/>
        <w:tab w:val="right" w:pos="9026"/>
      </w:tabs>
    </w:pPr>
  </w:style>
  <w:style w:type="character" w:customStyle="1" w:styleId="FooterChar">
    <w:name w:val="Footer Char"/>
    <w:link w:val="Footer"/>
    <w:uiPriority w:val="99"/>
    <w:rsid w:val="006E4393"/>
    <w:rPr>
      <w:sz w:val="22"/>
      <w:szCs w:val="22"/>
      <w:lang w:eastAsia="en-US"/>
    </w:rPr>
  </w:style>
  <w:style w:type="paragraph" w:styleId="ListParagraph">
    <w:name w:val="List Paragraph"/>
    <w:basedOn w:val="Normal"/>
    <w:uiPriority w:val="34"/>
    <w:qFormat/>
    <w:rsid w:val="002105BA"/>
    <w:pPr>
      <w:ind w:left="720"/>
      <w:contextualSpacing/>
    </w:pPr>
  </w:style>
  <w:style w:type="paragraph" w:customStyle="1" w:styleId="CF902Heading1">
    <w:name w:val="CF902 Heading 1"/>
    <w:basedOn w:val="Heading1"/>
    <w:autoRedefine/>
    <w:rsid w:val="00893739"/>
    <w:pPr>
      <w:numPr>
        <w:numId w:val="1"/>
      </w:numPr>
      <w:spacing w:before="360" w:after="360" w:line="240" w:lineRule="auto"/>
      <w:jc w:val="center"/>
    </w:pPr>
    <w:rPr>
      <w:rFonts w:ascii="Arial" w:hAnsi="Arial" w:cs="Arial"/>
      <w:lang w:eastAsia="es-ES"/>
    </w:rPr>
  </w:style>
  <w:style w:type="table" w:styleId="TableGrid">
    <w:name w:val="Table Grid"/>
    <w:basedOn w:val="TableNormal"/>
    <w:uiPriority w:val="59"/>
    <w:rsid w:val="00BC710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unhideWhenUsed/>
    <w:rsid w:val="00974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olor w:val="000000"/>
      <w:sz w:val="20"/>
      <w:szCs w:val="20"/>
    </w:rPr>
  </w:style>
  <w:style w:type="character" w:customStyle="1" w:styleId="HTMLPreformattedChar">
    <w:name w:val="HTML Preformatted Char"/>
    <w:link w:val="HTMLPreformatted"/>
    <w:uiPriority w:val="99"/>
    <w:semiHidden/>
    <w:rsid w:val="00974237"/>
    <w:rPr>
      <w:rFonts w:ascii="Courier New" w:eastAsia="Times New Roman" w:hAnsi="Courier New" w:cs="Courier New"/>
      <w:color w:val="000000"/>
    </w:rPr>
  </w:style>
  <w:style w:type="character" w:customStyle="1" w:styleId="apple-converted-space">
    <w:name w:val="apple-converted-space"/>
    <w:basedOn w:val="DefaultParagraphFont"/>
    <w:rsid w:val="00974237"/>
  </w:style>
  <w:style w:type="paragraph" w:styleId="DocumentMap">
    <w:name w:val="Document Map"/>
    <w:basedOn w:val="Normal"/>
    <w:link w:val="DocumentMapChar"/>
    <w:uiPriority w:val="99"/>
    <w:semiHidden/>
    <w:unhideWhenUsed/>
    <w:rsid w:val="005D736A"/>
    <w:rPr>
      <w:rFonts w:ascii="Tahoma" w:hAnsi="Tahoma"/>
      <w:sz w:val="16"/>
      <w:szCs w:val="16"/>
    </w:rPr>
  </w:style>
  <w:style w:type="character" w:customStyle="1" w:styleId="DocumentMapChar">
    <w:name w:val="Document Map Char"/>
    <w:link w:val="DocumentMap"/>
    <w:uiPriority w:val="99"/>
    <w:semiHidden/>
    <w:rsid w:val="005D736A"/>
    <w:rPr>
      <w:rFonts w:ascii="Tahoma" w:hAnsi="Tahoma" w:cs="Tahoma"/>
      <w:sz w:val="16"/>
      <w:szCs w:val="16"/>
      <w:lang w:eastAsia="en-US"/>
    </w:rPr>
  </w:style>
  <w:style w:type="paragraph" w:styleId="Title">
    <w:name w:val="Title"/>
    <w:basedOn w:val="Normal"/>
    <w:link w:val="TitleChar"/>
    <w:qFormat/>
    <w:rsid w:val="00CC76D1"/>
    <w:pPr>
      <w:spacing w:after="0" w:line="240" w:lineRule="auto"/>
      <w:jc w:val="center"/>
    </w:pPr>
    <w:rPr>
      <w:rFonts w:ascii="Times New Roman" w:eastAsia="Times New Roman" w:hAnsi="Times New Roman"/>
      <w:b/>
      <w:bCs/>
      <w:sz w:val="32"/>
      <w:szCs w:val="24"/>
      <w:lang w:eastAsia="es-ES"/>
    </w:rPr>
  </w:style>
  <w:style w:type="character" w:customStyle="1" w:styleId="TitleChar">
    <w:name w:val="Title Char"/>
    <w:link w:val="Title"/>
    <w:rsid w:val="00CC76D1"/>
    <w:rPr>
      <w:rFonts w:ascii="Times New Roman" w:eastAsia="Times New Roman" w:hAnsi="Times New Roman"/>
      <w:b/>
      <w:bCs/>
      <w:sz w:val="32"/>
      <w:szCs w:val="24"/>
      <w:lang w:eastAsia="es-ES"/>
    </w:rPr>
  </w:style>
  <w:style w:type="paragraph" w:customStyle="1" w:styleId="Default">
    <w:name w:val="Default"/>
    <w:rsid w:val="00A2552F"/>
    <w:pPr>
      <w:autoSpaceDE w:val="0"/>
      <w:autoSpaceDN w:val="0"/>
      <w:adjustRightInd w:val="0"/>
    </w:pPr>
    <w:rPr>
      <w:rFonts w:ascii="Arial" w:hAnsi="Arial" w:cs="Arial"/>
      <w:color w:val="000000"/>
      <w:sz w:val="24"/>
      <w:szCs w:val="24"/>
    </w:rPr>
  </w:style>
  <w:style w:type="paragraph" w:customStyle="1" w:styleId="unexpected-li">
    <w:name w:val="unexpected-li"/>
    <w:basedOn w:val="Normal"/>
    <w:rsid w:val="00F453FE"/>
    <w:pPr>
      <w:spacing w:before="100" w:beforeAutospacing="1" w:after="100" w:afterAutospacing="1" w:line="240" w:lineRule="auto"/>
    </w:pPr>
    <w:rPr>
      <w:rFonts w:ascii="Times New Roman" w:eastAsia="Times New Roman" w:hAnsi="Times New Roman"/>
      <w:color w:val="000000"/>
      <w:sz w:val="24"/>
      <w:szCs w:val="24"/>
      <w:lang w:eastAsia="en-GB"/>
    </w:rPr>
  </w:style>
  <w:style w:type="paragraph" w:customStyle="1" w:styleId="unexpected-lbody">
    <w:name w:val="unexpected-lbody"/>
    <w:basedOn w:val="Normal"/>
    <w:rsid w:val="00F453FE"/>
    <w:pPr>
      <w:spacing w:before="100" w:beforeAutospacing="1" w:after="100" w:afterAutospacing="1" w:line="240" w:lineRule="auto"/>
    </w:pPr>
    <w:rPr>
      <w:rFonts w:ascii="Times New Roman" w:eastAsia="Times New Roman" w:hAnsi="Times New Roman"/>
      <w:color w:val="000000"/>
      <w:sz w:val="24"/>
      <w:szCs w:val="24"/>
      <w:lang w:eastAsia="en-GB"/>
    </w:rPr>
  </w:style>
  <w:style w:type="paragraph" w:customStyle="1" w:styleId="Stylepaper-maintext">
    <w:name w:val="Style paper - main text"/>
    <w:basedOn w:val="Normal"/>
    <w:rsid w:val="00A562E7"/>
    <w:pPr>
      <w:spacing w:after="100" w:afterAutospacing="1" w:line="240" w:lineRule="auto"/>
      <w:jc w:val="both"/>
    </w:pPr>
    <w:rPr>
      <w:rFonts w:ascii="Times New Roman" w:eastAsia="SimSun" w:hAnsi="Times New Roman"/>
      <w:sz w:val="24"/>
      <w:szCs w:val="24"/>
      <w:lang w:eastAsia="en-GB"/>
    </w:rPr>
  </w:style>
  <w:style w:type="paragraph" w:customStyle="1" w:styleId="CharChar2CharCharCharChar">
    <w:name w:val="Char Char2 Char Char Char Char"/>
    <w:basedOn w:val="Normal"/>
    <w:rsid w:val="00A562E7"/>
    <w:pPr>
      <w:spacing w:after="160" w:line="240" w:lineRule="exact"/>
    </w:pPr>
    <w:rPr>
      <w:rFonts w:ascii="Tahoma" w:eastAsia="Times New Roman" w:hAnsi="Tahoma"/>
      <w:sz w:val="20"/>
      <w:szCs w:val="20"/>
      <w:lang w:val="en-US"/>
    </w:rPr>
  </w:style>
  <w:style w:type="paragraph" w:styleId="BodyText">
    <w:name w:val="Body Text"/>
    <w:basedOn w:val="Normal"/>
    <w:link w:val="BodyTextChar"/>
    <w:rsid w:val="006E3B52"/>
    <w:pPr>
      <w:spacing w:after="0" w:line="240" w:lineRule="auto"/>
    </w:pPr>
    <w:rPr>
      <w:rFonts w:ascii="Times New Roman" w:eastAsia="SimSun" w:hAnsi="Times New Roman"/>
      <w:szCs w:val="24"/>
      <w:lang w:eastAsia="es-ES"/>
    </w:rPr>
  </w:style>
  <w:style w:type="character" w:customStyle="1" w:styleId="BodyTextChar">
    <w:name w:val="Body Text Char"/>
    <w:link w:val="BodyText"/>
    <w:rsid w:val="006E3B52"/>
    <w:rPr>
      <w:rFonts w:ascii="Times New Roman" w:eastAsia="SimSun" w:hAnsi="Times New Roman"/>
      <w:sz w:val="22"/>
      <w:szCs w:val="24"/>
      <w:lang w:eastAsia="es-ES"/>
    </w:rPr>
  </w:style>
  <w:style w:type="paragraph" w:styleId="Caption">
    <w:name w:val="caption"/>
    <w:basedOn w:val="Normal"/>
    <w:next w:val="Normal"/>
    <w:uiPriority w:val="35"/>
    <w:unhideWhenUsed/>
    <w:qFormat/>
    <w:rsid w:val="009B6FCE"/>
    <w:rPr>
      <w:b/>
      <w:bCs/>
      <w:sz w:val="20"/>
      <w:szCs w:val="20"/>
    </w:rPr>
  </w:style>
  <w:style w:type="character" w:styleId="FollowedHyperlink">
    <w:name w:val="FollowedHyperlink"/>
    <w:uiPriority w:val="99"/>
    <w:semiHidden/>
    <w:unhideWhenUsed/>
    <w:rsid w:val="00040529"/>
    <w:rPr>
      <w:color w:val="800080"/>
      <w:u w:val="single"/>
    </w:rPr>
  </w:style>
  <w:style w:type="character" w:styleId="PlaceholderText">
    <w:name w:val="Placeholder Text"/>
    <w:basedOn w:val="DefaultParagraphFont"/>
    <w:uiPriority w:val="99"/>
    <w:semiHidden/>
    <w:rsid w:val="00C36DB0"/>
    <w:rPr>
      <w:color w:val="808080"/>
    </w:rPr>
  </w:style>
  <w:style w:type="character" w:styleId="Strong">
    <w:name w:val="Strong"/>
    <w:basedOn w:val="DefaultParagraphFont"/>
    <w:uiPriority w:val="22"/>
    <w:qFormat/>
    <w:rsid w:val="008A48BC"/>
    <w:rPr>
      <w:b/>
      <w:bCs/>
    </w:rPr>
  </w:style>
  <w:style w:type="character" w:styleId="Emphasis">
    <w:name w:val="Emphasis"/>
    <w:basedOn w:val="DefaultParagraphFont"/>
    <w:uiPriority w:val="20"/>
    <w:qFormat/>
    <w:rsid w:val="006B5C33"/>
    <w:rPr>
      <w:i/>
      <w:iCs/>
    </w:rPr>
  </w:style>
  <w:style w:type="paragraph" w:customStyle="1" w:styleId="FSRmaintext">
    <w:name w:val="FSR main text"/>
    <w:basedOn w:val="BodyText"/>
    <w:link w:val="FSRmaintextChar1"/>
    <w:rsid w:val="005F2F7C"/>
    <w:pPr>
      <w:spacing w:after="120" w:line="280" w:lineRule="atLeast"/>
      <w:jc w:val="both"/>
    </w:pPr>
    <w:rPr>
      <w:lang w:eastAsia="en-GB"/>
    </w:rPr>
  </w:style>
  <w:style w:type="character" w:customStyle="1" w:styleId="FSRmaintextChar1">
    <w:name w:val="FSR main text Char1"/>
    <w:basedOn w:val="DefaultParagraphFont"/>
    <w:link w:val="FSRmaintext"/>
    <w:rsid w:val="005F2F7C"/>
    <w:rPr>
      <w:rFonts w:ascii="Times New Roman" w:eastAsia="SimSun" w:hAnsi="Times New Roman"/>
      <w:sz w:val="22"/>
      <w:szCs w:val="24"/>
    </w:rPr>
  </w:style>
</w:styles>
</file>

<file path=word/webSettings.xml><?xml version="1.0" encoding="utf-8"?>
<w:webSettings xmlns:r="http://schemas.openxmlformats.org/officeDocument/2006/relationships" xmlns:w="http://schemas.openxmlformats.org/wordprocessingml/2006/main">
  <w:divs>
    <w:div w:id="3825463">
      <w:bodyDiv w:val="1"/>
      <w:marLeft w:val="0"/>
      <w:marRight w:val="0"/>
      <w:marTop w:val="0"/>
      <w:marBottom w:val="0"/>
      <w:divBdr>
        <w:top w:val="none" w:sz="0" w:space="0" w:color="auto"/>
        <w:left w:val="none" w:sz="0" w:space="0" w:color="auto"/>
        <w:bottom w:val="none" w:sz="0" w:space="0" w:color="auto"/>
        <w:right w:val="none" w:sz="0" w:space="0" w:color="auto"/>
      </w:divBdr>
    </w:div>
    <w:div w:id="25104991">
      <w:bodyDiv w:val="1"/>
      <w:marLeft w:val="0"/>
      <w:marRight w:val="0"/>
      <w:marTop w:val="0"/>
      <w:marBottom w:val="0"/>
      <w:divBdr>
        <w:top w:val="none" w:sz="0" w:space="0" w:color="auto"/>
        <w:left w:val="none" w:sz="0" w:space="0" w:color="auto"/>
        <w:bottom w:val="none" w:sz="0" w:space="0" w:color="auto"/>
        <w:right w:val="none" w:sz="0" w:space="0" w:color="auto"/>
      </w:divBdr>
    </w:div>
    <w:div w:id="34434064">
      <w:bodyDiv w:val="1"/>
      <w:marLeft w:val="0"/>
      <w:marRight w:val="0"/>
      <w:marTop w:val="0"/>
      <w:marBottom w:val="0"/>
      <w:divBdr>
        <w:top w:val="none" w:sz="0" w:space="0" w:color="auto"/>
        <w:left w:val="none" w:sz="0" w:space="0" w:color="auto"/>
        <w:bottom w:val="none" w:sz="0" w:space="0" w:color="auto"/>
        <w:right w:val="none" w:sz="0" w:space="0" w:color="auto"/>
      </w:divBdr>
      <w:divsChild>
        <w:div w:id="1445923637">
          <w:marLeft w:val="0"/>
          <w:marRight w:val="0"/>
          <w:marTop w:val="0"/>
          <w:marBottom w:val="0"/>
          <w:divBdr>
            <w:top w:val="none" w:sz="0" w:space="0" w:color="auto"/>
            <w:left w:val="none" w:sz="0" w:space="0" w:color="auto"/>
            <w:bottom w:val="none" w:sz="0" w:space="0" w:color="auto"/>
            <w:right w:val="none" w:sz="0" w:space="0" w:color="auto"/>
          </w:divBdr>
          <w:divsChild>
            <w:div w:id="705181966">
              <w:marLeft w:val="3000"/>
              <w:marRight w:val="0"/>
              <w:marTop w:val="0"/>
              <w:marBottom w:val="0"/>
              <w:divBdr>
                <w:top w:val="none" w:sz="0" w:space="0" w:color="auto"/>
                <w:left w:val="single" w:sz="48" w:space="4" w:color="FFFFFF"/>
                <w:bottom w:val="none" w:sz="0" w:space="0" w:color="auto"/>
                <w:right w:val="none" w:sz="0" w:space="0" w:color="auto"/>
              </w:divBdr>
              <w:divsChild>
                <w:div w:id="554393724">
                  <w:marLeft w:val="0"/>
                  <w:marRight w:val="0"/>
                  <w:marTop w:val="0"/>
                  <w:marBottom w:val="0"/>
                  <w:divBdr>
                    <w:top w:val="none" w:sz="0" w:space="0" w:color="auto"/>
                    <w:left w:val="none" w:sz="0" w:space="0" w:color="auto"/>
                    <w:bottom w:val="none" w:sz="0" w:space="0" w:color="auto"/>
                    <w:right w:val="none" w:sz="0" w:space="0" w:color="auto"/>
                  </w:divBdr>
                  <w:divsChild>
                    <w:div w:id="65434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467519">
      <w:marLeft w:val="0"/>
      <w:marRight w:val="0"/>
      <w:marTop w:val="0"/>
      <w:marBottom w:val="0"/>
      <w:divBdr>
        <w:top w:val="none" w:sz="0" w:space="0" w:color="auto"/>
        <w:left w:val="none" w:sz="0" w:space="0" w:color="auto"/>
        <w:bottom w:val="none" w:sz="0" w:space="0" w:color="auto"/>
        <w:right w:val="none" w:sz="0" w:space="0" w:color="auto"/>
      </w:divBdr>
    </w:div>
    <w:div w:id="59601080">
      <w:bodyDiv w:val="1"/>
      <w:marLeft w:val="0"/>
      <w:marRight w:val="0"/>
      <w:marTop w:val="0"/>
      <w:marBottom w:val="0"/>
      <w:divBdr>
        <w:top w:val="none" w:sz="0" w:space="0" w:color="auto"/>
        <w:left w:val="none" w:sz="0" w:space="0" w:color="auto"/>
        <w:bottom w:val="none" w:sz="0" w:space="0" w:color="auto"/>
        <w:right w:val="none" w:sz="0" w:space="0" w:color="auto"/>
      </w:divBdr>
      <w:divsChild>
        <w:div w:id="1003975091">
          <w:marLeft w:val="0"/>
          <w:marRight w:val="0"/>
          <w:marTop w:val="0"/>
          <w:marBottom w:val="0"/>
          <w:divBdr>
            <w:top w:val="none" w:sz="0" w:space="0" w:color="auto"/>
            <w:left w:val="none" w:sz="0" w:space="0" w:color="auto"/>
            <w:bottom w:val="none" w:sz="0" w:space="0" w:color="auto"/>
            <w:right w:val="none" w:sz="0" w:space="0" w:color="auto"/>
          </w:divBdr>
        </w:div>
      </w:divsChild>
    </w:div>
    <w:div w:id="60180045">
      <w:marLeft w:val="0"/>
      <w:marRight w:val="0"/>
      <w:marTop w:val="0"/>
      <w:marBottom w:val="0"/>
      <w:divBdr>
        <w:top w:val="none" w:sz="0" w:space="0" w:color="auto"/>
        <w:left w:val="none" w:sz="0" w:space="0" w:color="auto"/>
        <w:bottom w:val="none" w:sz="0" w:space="0" w:color="auto"/>
        <w:right w:val="none" w:sz="0" w:space="0" w:color="auto"/>
      </w:divBdr>
    </w:div>
    <w:div w:id="65959283">
      <w:marLeft w:val="0"/>
      <w:marRight w:val="0"/>
      <w:marTop w:val="0"/>
      <w:marBottom w:val="0"/>
      <w:divBdr>
        <w:top w:val="none" w:sz="0" w:space="0" w:color="auto"/>
        <w:left w:val="none" w:sz="0" w:space="0" w:color="auto"/>
        <w:bottom w:val="none" w:sz="0" w:space="0" w:color="auto"/>
        <w:right w:val="none" w:sz="0" w:space="0" w:color="auto"/>
      </w:divBdr>
    </w:div>
    <w:div w:id="69473593">
      <w:marLeft w:val="0"/>
      <w:marRight w:val="0"/>
      <w:marTop w:val="0"/>
      <w:marBottom w:val="0"/>
      <w:divBdr>
        <w:top w:val="none" w:sz="0" w:space="0" w:color="auto"/>
        <w:left w:val="none" w:sz="0" w:space="0" w:color="auto"/>
        <w:bottom w:val="none" w:sz="0" w:space="0" w:color="auto"/>
        <w:right w:val="none" w:sz="0" w:space="0" w:color="auto"/>
      </w:divBdr>
    </w:div>
    <w:div w:id="69735483">
      <w:marLeft w:val="0"/>
      <w:marRight w:val="0"/>
      <w:marTop w:val="0"/>
      <w:marBottom w:val="0"/>
      <w:divBdr>
        <w:top w:val="none" w:sz="0" w:space="0" w:color="auto"/>
        <w:left w:val="none" w:sz="0" w:space="0" w:color="auto"/>
        <w:bottom w:val="none" w:sz="0" w:space="0" w:color="auto"/>
        <w:right w:val="none" w:sz="0" w:space="0" w:color="auto"/>
      </w:divBdr>
    </w:div>
    <w:div w:id="76220668">
      <w:marLeft w:val="0"/>
      <w:marRight w:val="0"/>
      <w:marTop w:val="0"/>
      <w:marBottom w:val="0"/>
      <w:divBdr>
        <w:top w:val="none" w:sz="0" w:space="0" w:color="auto"/>
        <w:left w:val="none" w:sz="0" w:space="0" w:color="auto"/>
        <w:bottom w:val="none" w:sz="0" w:space="0" w:color="auto"/>
        <w:right w:val="none" w:sz="0" w:space="0" w:color="auto"/>
      </w:divBdr>
    </w:div>
    <w:div w:id="84806692">
      <w:marLeft w:val="0"/>
      <w:marRight w:val="0"/>
      <w:marTop w:val="0"/>
      <w:marBottom w:val="0"/>
      <w:divBdr>
        <w:top w:val="none" w:sz="0" w:space="0" w:color="auto"/>
        <w:left w:val="none" w:sz="0" w:space="0" w:color="auto"/>
        <w:bottom w:val="none" w:sz="0" w:space="0" w:color="auto"/>
        <w:right w:val="none" w:sz="0" w:space="0" w:color="auto"/>
      </w:divBdr>
    </w:div>
    <w:div w:id="85854171">
      <w:marLeft w:val="0"/>
      <w:marRight w:val="0"/>
      <w:marTop w:val="0"/>
      <w:marBottom w:val="0"/>
      <w:divBdr>
        <w:top w:val="none" w:sz="0" w:space="0" w:color="auto"/>
        <w:left w:val="none" w:sz="0" w:space="0" w:color="auto"/>
        <w:bottom w:val="none" w:sz="0" w:space="0" w:color="auto"/>
        <w:right w:val="none" w:sz="0" w:space="0" w:color="auto"/>
      </w:divBdr>
    </w:div>
    <w:div w:id="92288693">
      <w:marLeft w:val="0"/>
      <w:marRight w:val="0"/>
      <w:marTop w:val="0"/>
      <w:marBottom w:val="0"/>
      <w:divBdr>
        <w:top w:val="none" w:sz="0" w:space="0" w:color="auto"/>
        <w:left w:val="none" w:sz="0" w:space="0" w:color="auto"/>
        <w:bottom w:val="none" w:sz="0" w:space="0" w:color="auto"/>
        <w:right w:val="none" w:sz="0" w:space="0" w:color="auto"/>
      </w:divBdr>
    </w:div>
    <w:div w:id="98456937">
      <w:bodyDiv w:val="1"/>
      <w:marLeft w:val="0"/>
      <w:marRight w:val="0"/>
      <w:marTop w:val="0"/>
      <w:marBottom w:val="0"/>
      <w:divBdr>
        <w:top w:val="none" w:sz="0" w:space="0" w:color="auto"/>
        <w:left w:val="none" w:sz="0" w:space="0" w:color="auto"/>
        <w:bottom w:val="none" w:sz="0" w:space="0" w:color="auto"/>
        <w:right w:val="none" w:sz="0" w:space="0" w:color="auto"/>
      </w:divBdr>
    </w:div>
    <w:div w:id="110244511">
      <w:marLeft w:val="0"/>
      <w:marRight w:val="0"/>
      <w:marTop w:val="0"/>
      <w:marBottom w:val="0"/>
      <w:divBdr>
        <w:top w:val="none" w:sz="0" w:space="0" w:color="auto"/>
        <w:left w:val="none" w:sz="0" w:space="0" w:color="auto"/>
        <w:bottom w:val="none" w:sz="0" w:space="0" w:color="auto"/>
        <w:right w:val="none" w:sz="0" w:space="0" w:color="auto"/>
      </w:divBdr>
    </w:div>
    <w:div w:id="120925853">
      <w:marLeft w:val="0"/>
      <w:marRight w:val="0"/>
      <w:marTop w:val="0"/>
      <w:marBottom w:val="0"/>
      <w:divBdr>
        <w:top w:val="none" w:sz="0" w:space="0" w:color="auto"/>
        <w:left w:val="none" w:sz="0" w:space="0" w:color="auto"/>
        <w:bottom w:val="none" w:sz="0" w:space="0" w:color="auto"/>
        <w:right w:val="none" w:sz="0" w:space="0" w:color="auto"/>
      </w:divBdr>
    </w:div>
    <w:div w:id="126238172">
      <w:marLeft w:val="0"/>
      <w:marRight w:val="0"/>
      <w:marTop w:val="0"/>
      <w:marBottom w:val="0"/>
      <w:divBdr>
        <w:top w:val="none" w:sz="0" w:space="0" w:color="auto"/>
        <w:left w:val="none" w:sz="0" w:space="0" w:color="auto"/>
        <w:bottom w:val="none" w:sz="0" w:space="0" w:color="auto"/>
        <w:right w:val="none" w:sz="0" w:space="0" w:color="auto"/>
      </w:divBdr>
    </w:div>
    <w:div w:id="146286722">
      <w:marLeft w:val="0"/>
      <w:marRight w:val="0"/>
      <w:marTop w:val="0"/>
      <w:marBottom w:val="0"/>
      <w:divBdr>
        <w:top w:val="none" w:sz="0" w:space="0" w:color="auto"/>
        <w:left w:val="none" w:sz="0" w:space="0" w:color="auto"/>
        <w:bottom w:val="none" w:sz="0" w:space="0" w:color="auto"/>
        <w:right w:val="none" w:sz="0" w:space="0" w:color="auto"/>
      </w:divBdr>
    </w:div>
    <w:div w:id="154878549">
      <w:marLeft w:val="0"/>
      <w:marRight w:val="0"/>
      <w:marTop w:val="0"/>
      <w:marBottom w:val="0"/>
      <w:divBdr>
        <w:top w:val="none" w:sz="0" w:space="0" w:color="auto"/>
        <w:left w:val="none" w:sz="0" w:space="0" w:color="auto"/>
        <w:bottom w:val="none" w:sz="0" w:space="0" w:color="auto"/>
        <w:right w:val="none" w:sz="0" w:space="0" w:color="auto"/>
      </w:divBdr>
    </w:div>
    <w:div w:id="160897177">
      <w:marLeft w:val="0"/>
      <w:marRight w:val="0"/>
      <w:marTop w:val="0"/>
      <w:marBottom w:val="0"/>
      <w:divBdr>
        <w:top w:val="none" w:sz="0" w:space="0" w:color="auto"/>
        <w:left w:val="none" w:sz="0" w:space="0" w:color="auto"/>
        <w:bottom w:val="none" w:sz="0" w:space="0" w:color="auto"/>
        <w:right w:val="none" w:sz="0" w:space="0" w:color="auto"/>
      </w:divBdr>
    </w:div>
    <w:div w:id="182479002">
      <w:bodyDiv w:val="1"/>
      <w:marLeft w:val="0"/>
      <w:marRight w:val="0"/>
      <w:marTop w:val="0"/>
      <w:marBottom w:val="0"/>
      <w:divBdr>
        <w:top w:val="none" w:sz="0" w:space="0" w:color="auto"/>
        <w:left w:val="none" w:sz="0" w:space="0" w:color="auto"/>
        <w:bottom w:val="none" w:sz="0" w:space="0" w:color="auto"/>
        <w:right w:val="none" w:sz="0" w:space="0" w:color="auto"/>
      </w:divBdr>
    </w:div>
    <w:div w:id="189995643">
      <w:bodyDiv w:val="1"/>
      <w:marLeft w:val="0"/>
      <w:marRight w:val="0"/>
      <w:marTop w:val="0"/>
      <w:marBottom w:val="0"/>
      <w:divBdr>
        <w:top w:val="none" w:sz="0" w:space="0" w:color="auto"/>
        <w:left w:val="none" w:sz="0" w:space="0" w:color="auto"/>
        <w:bottom w:val="none" w:sz="0" w:space="0" w:color="auto"/>
        <w:right w:val="none" w:sz="0" w:space="0" w:color="auto"/>
      </w:divBdr>
    </w:div>
    <w:div w:id="191498356">
      <w:marLeft w:val="0"/>
      <w:marRight w:val="0"/>
      <w:marTop w:val="0"/>
      <w:marBottom w:val="0"/>
      <w:divBdr>
        <w:top w:val="none" w:sz="0" w:space="0" w:color="auto"/>
        <w:left w:val="none" w:sz="0" w:space="0" w:color="auto"/>
        <w:bottom w:val="none" w:sz="0" w:space="0" w:color="auto"/>
        <w:right w:val="none" w:sz="0" w:space="0" w:color="auto"/>
      </w:divBdr>
    </w:div>
    <w:div w:id="192352865">
      <w:marLeft w:val="0"/>
      <w:marRight w:val="0"/>
      <w:marTop w:val="0"/>
      <w:marBottom w:val="0"/>
      <w:divBdr>
        <w:top w:val="none" w:sz="0" w:space="0" w:color="auto"/>
        <w:left w:val="none" w:sz="0" w:space="0" w:color="auto"/>
        <w:bottom w:val="none" w:sz="0" w:space="0" w:color="auto"/>
        <w:right w:val="none" w:sz="0" w:space="0" w:color="auto"/>
      </w:divBdr>
    </w:div>
    <w:div w:id="193613383">
      <w:bodyDiv w:val="1"/>
      <w:marLeft w:val="0"/>
      <w:marRight w:val="0"/>
      <w:marTop w:val="0"/>
      <w:marBottom w:val="0"/>
      <w:divBdr>
        <w:top w:val="none" w:sz="0" w:space="0" w:color="auto"/>
        <w:left w:val="none" w:sz="0" w:space="0" w:color="auto"/>
        <w:bottom w:val="none" w:sz="0" w:space="0" w:color="auto"/>
        <w:right w:val="none" w:sz="0" w:space="0" w:color="auto"/>
      </w:divBdr>
    </w:div>
    <w:div w:id="198201812">
      <w:marLeft w:val="0"/>
      <w:marRight w:val="0"/>
      <w:marTop w:val="0"/>
      <w:marBottom w:val="0"/>
      <w:divBdr>
        <w:top w:val="none" w:sz="0" w:space="0" w:color="auto"/>
        <w:left w:val="none" w:sz="0" w:space="0" w:color="auto"/>
        <w:bottom w:val="none" w:sz="0" w:space="0" w:color="auto"/>
        <w:right w:val="none" w:sz="0" w:space="0" w:color="auto"/>
      </w:divBdr>
    </w:div>
    <w:div w:id="203450336">
      <w:bodyDiv w:val="1"/>
      <w:marLeft w:val="0"/>
      <w:marRight w:val="0"/>
      <w:marTop w:val="0"/>
      <w:marBottom w:val="0"/>
      <w:divBdr>
        <w:top w:val="none" w:sz="0" w:space="0" w:color="auto"/>
        <w:left w:val="none" w:sz="0" w:space="0" w:color="auto"/>
        <w:bottom w:val="none" w:sz="0" w:space="0" w:color="auto"/>
        <w:right w:val="none" w:sz="0" w:space="0" w:color="auto"/>
      </w:divBdr>
    </w:div>
    <w:div w:id="217397353">
      <w:marLeft w:val="0"/>
      <w:marRight w:val="0"/>
      <w:marTop w:val="0"/>
      <w:marBottom w:val="0"/>
      <w:divBdr>
        <w:top w:val="none" w:sz="0" w:space="0" w:color="auto"/>
        <w:left w:val="none" w:sz="0" w:space="0" w:color="auto"/>
        <w:bottom w:val="none" w:sz="0" w:space="0" w:color="auto"/>
        <w:right w:val="none" w:sz="0" w:space="0" w:color="auto"/>
      </w:divBdr>
    </w:div>
    <w:div w:id="230964543">
      <w:marLeft w:val="0"/>
      <w:marRight w:val="0"/>
      <w:marTop w:val="0"/>
      <w:marBottom w:val="0"/>
      <w:divBdr>
        <w:top w:val="none" w:sz="0" w:space="0" w:color="auto"/>
        <w:left w:val="none" w:sz="0" w:space="0" w:color="auto"/>
        <w:bottom w:val="none" w:sz="0" w:space="0" w:color="auto"/>
        <w:right w:val="none" w:sz="0" w:space="0" w:color="auto"/>
      </w:divBdr>
    </w:div>
    <w:div w:id="245117431">
      <w:marLeft w:val="0"/>
      <w:marRight w:val="0"/>
      <w:marTop w:val="0"/>
      <w:marBottom w:val="0"/>
      <w:divBdr>
        <w:top w:val="none" w:sz="0" w:space="0" w:color="auto"/>
        <w:left w:val="none" w:sz="0" w:space="0" w:color="auto"/>
        <w:bottom w:val="none" w:sz="0" w:space="0" w:color="auto"/>
        <w:right w:val="none" w:sz="0" w:space="0" w:color="auto"/>
      </w:divBdr>
      <w:divsChild>
        <w:div w:id="930158865">
          <w:marLeft w:val="0"/>
          <w:marRight w:val="0"/>
          <w:marTop w:val="0"/>
          <w:marBottom w:val="0"/>
          <w:divBdr>
            <w:top w:val="none" w:sz="0" w:space="0" w:color="auto"/>
            <w:left w:val="none" w:sz="0" w:space="0" w:color="auto"/>
            <w:bottom w:val="none" w:sz="0" w:space="0" w:color="auto"/>
            <w:right w:val="none" w:sz="0" w:space="0" w:color="auto"/>
          </w:divBdr>
        </w:div>
      </w:divsChild>
    </w:div>
    <w:div w:id="247663476">
      <w:marLeft w:val="0"/>
      <w:marRight w:val="0"/>
      <w:marTop w:val="0"/>
      <w:marBottom w:val="0"/>
      <w:divBdr>
        <w:top w:val="none" w:sz="0" w:space="0" w:color="auto"/>
        <w:left w:val="none" w:sz="0" w:space="0" w:color="auto"/>
        <w:bottom w:val="none" w:sz="0" w:space="0" w:color="auto"/>
        <w:right w:val="none" w:sz="0" w:space="0" w:color="auto"/>
      </w:divBdr>
    </w:div>
    <w:div w:id="248345831">
      <w:marLeft w:val="0"/>
      <w:marRight w:val="0"/>
      <w:marTop w:val="0"/>
      <w:marBottom w:val="0"/>
      <w:divBdr>
        <w:top w:val="none" w:sz="0" w:space="0" w:color="auto"/>
        <w:left w:val="none" w:sz="0" w:space="0" w:color="auto"/>
        <w:bottom w:val="none" w:sz="0" w:space="0" w:color="auto"/>
        <w:right w:val="none" w:sz="0" w:space="0" w:color="auto"/>
      </w:divBdr>
    </w:div>
    <w:div w:id="265240120">
      <w:bodyDiv w:val="1"/>
      <w:marLeft w:val="0"/>
      <w:marRight w:val="0"/>
      <w:marTop w:val="0"/>
      <w:marBottom w:val="0"/>
      <w:divBdr>
        <w:top w:val="none" w:sz="0" w:space="0" w:color="auto"/>
        <w:left w:val="none" w:sz="0" w:space="0" w:color="auto"/>
        <w:bottom w:val="none" w:sz="0" w:space="0" w:color="auto"/>
        <w:right w:val="none" w:sz="0" w:space="0" w:color="auto"/>
      </w:divBdr>
    </w:div>
    <w:div w:id="266625235">
      <w:bodyDiv w:val="1"/>
      <w:marLeft w:val="0"/>
      <w:marRight w:val="0"/>
      <w:marTop w:val="0"/>
      <w:marBottom w:val="0"/>
      <w:divBdr>
        <w:top w:val="none" w:sz="0" w:space="0" w:color="auto"/>
        <w:left w:val="none" w:sz="0" w:space="0" w:color="auto"/>
        <w:bottom w:val="none" w:sz="0" w:space="0" w:color="auto"/>
        <w:right w:val="none" w:sz="0" w:space="0" w:color="auto"/>
      </w:divBdr>
    </w:div>
    <w:div w:id="331683185">
      <w:marLeft w:val="0"/>
      <w:marRight w:val="0"/>
      <w:marTop w:val="0"/>
      <w:marBottom w:val="0"/>
      <w:divBdr>
        <w:top w:val="none" w:sz="0" w:space="0" w:color="auto"/>
        <w:left w:val="none" w:sz="0" w:space="0" w:color="auto"/>
        <w:bottom w:val="none" w:sz="0" w:space="0" w:color="auto"/>
        <w:right w:val="none" w:sz="0" w:space="0" w:color="auto"/>
      </w:divBdr>
    </w:div>
    <w:div w:id="334960413">
      <w:bodyDiv w:val="1"/>
      <w:marLeft w:val="0"/>
      <w:marRight w:val="0"/>
      <w:marTop w:val="0"/>
      <w:marBottom w:val="0"/>
      <w:divBdr>
        <w:top w:val="none" w:sz="0" w:space="0" w:color="auto"/>
        <w:left w:val="none" w:sz="0" w:space="0" w:color="auto"/>
        <w:bottom w:val="none" w:sz="0" w:space="0" w:color="auto"/>
        <w:right w:val="none" w:sz="0" w:space="0" w:color="auto"/>
      </w:divBdr>
    </w:div>
    <w:div w:id="344985541">
      <w:marLeft w:val="0"/>
      <w:marRight w:val="0"/>
      <w:marTop w:val="0"/>
      <w:marBottom w:val="0"/>
      <w:divBdr>
        <w:top w:val="none" w:sz="0" w:space="0" w:color="auto"/>
        <w:left w:val="none" w:sz="0" w:space="0" w:color="auto"/>
        <w:bottom w:val="none" w:sz="0" w:space="0" w:color="auto"/>
        <w:right w:val="none" w:sz="0" w:space="0" w:color="auto"/>
      </w:divBdr>
    </w:div>
    <w:div w:id="358356044">
      <w:marLeft w:val="0"/>
      <w:marRight w:val="0"/>
      <w:marTop w:val="0"/>
      <w:marBottom w:val="0"/>
      <w:divBdr>
        <w:top w:val="none" w:sz="0" w:space="0" w:color="auto"/>
        <w:left w:val="none" w:sz="0" w:space="0" w:color="auto"/>
        <w:bottom w:val="none" w:sz="0" w:space="0" w:color="auto"/>
        <w:right w:val="none" w:sz="0" w:space="0" w:color="auto"/>
      </w:divBdr>
    </w:div>
    <w:div w:id="363559377">
      <w:marLeft w:val="0"/>
      <w:marRight w:val="0"/>
      <w:marTop w:val="0"/>
      <w:marBottom w:val="0"/>
      <w:divBdr>
        <w:top w:val="none" w:sz="0" w:space="0" w:color="auto"/>
        <w:left w:val="none" w:sz="0" w:space="0" w:color="auto"/>
        <w:bottom w:val="none" w:sz="0" w:space="0" w:color="auto"/>
        <w:right w:val="none" w:sz="0" w:space="0" w:color="auto"/>
      </w:divBdr>
    </w:div>
    <w:div w:id="368141271">
      <w:marLeft w:val="0"/>
      <w:marRight w:val="0"/>
      <w:marTop w:val="0"/>
      <w:marBottom w:val="0"/>
      <w:divBdr>
        <w:top w:val="none" w:sz="0" w:space="0" w:color="auto"/>
        <w:left w:val="none" w:sz="0" w:space="0" w:color="auto"/>
        <w:bottom w:val="none" w:sz="0" w:space="0" w:color="auto"/>
        <w:right w:val="none" w:sz="0" w:space="0" w:color="auto"/>
      </w:divBdr>
    </w:div>
    <w:div w:id="368186591">
      <w:bodyDiv w:val="1"/>
      <w:marLeft w:val="0"/>
      <w:marRight w:val="0"/>
      <w:marTop w:val="0"/>
      <w:marBottom w:val="0"/>
      <w:divBdr>
        <w:top w:val="none" w:sz="0" w:space="0" w:color="auto"/>
        <w:left w:val="none" w:sz="0" w:space="0" w:color="auto"/>
        <w:bottom w:val="none" w:sz="0" w:space="0" w:color="auto"/>
        <w:right w:val="none" w:sz="0" w:space="0" w:color="auto"/>
      </w:divBdr>
    </w:div>
    <w:div w:id="391780236">
      <w:marLeft w:val="0"/>
      <w:marRight w:val="0"/>
      <w:marTop w:val="0"/>
      <w:marBottom w:val="0"/>
      <w:divBdr>
        <w:top w:val="none" w:sz="0" w:space="0" w:color="auto"/>
        <w:left w:val="none" w:sz="0" w:space="0" w:color="auto"/>
        <w:bottom w:val="none" w:sz="0" w:space="0" w:color="auto"/>
        <w:right w:val="none" w:sz="0" w:space="0" w:color="auto"/>
      </w:divBdr>
      <w:divsChild>
        <w:div w:id="1940865346">
          <w:marLeft w:val="0"/>
          <w:marRight w:val="0"/>
          <w:marTop w:val="0"/>
          <w:marBottom w:val="0"/>
          <w:divBdr>
            <w:top w:val="none" w:sz="0" w:space="0" w:color="auto"/>
            <w:left w:val="none" w:sz="0" w:space="0" w:color="auto"/>
            <w:bottom w:val="none" w:sz="0" w:space="0" w:color="auto"/>
            <w:right w:val="none" w:sz="0" w:space="0" w:color="auto"/>
          </w:divBdr>
        </w:div>
      </w:divsChild>
    </w:div>
    <w:div w:id="392630962">
      <w:bodyDiv w:val="1"/>
      <w:marLeft w:val="0"/>
      <w:marRight w:val="0"/>
      <w:marTop w:val="0"/>
      <w:marBottom w:val="0"/>
      <w:divBdr>
        <w:top w:val="none" w:sz="0" w:space="0" w:color="auto"/>
        <w:left w:val="none" w:sz="0" w:space="0" w:color="auto"/>
        <w:bottom w:val="none" w:sz="0" w:space="0" w:color="auto"/>
        <w:right w:val="none" w:sz="0" w:space="0" w:color="auto"/>
      </w:divBdr>
    </w:div>
    <w:div w:id="403843293">
      <w:marLeft w:val="0"/>
      <w:marRight w:val="0"/>
      <w:marTop w:val="0"/>
      <w:marBottom w:val="0"/>
      <w:divBdr>
        <w:top w:val="none" w:sz="0" w:space="0" w:color="auto"/>
        <w:left w:val="none" w:sz="0" w:space="0" w:color="auto"/>
        <w:bottom w:val="none" w:sz="0" w:space="0" w:color="auto"/>
        <w:right w:val="none" w:sz="0" w:space="0" w:color="auto"/>
      </w:divBdr>
    </w:div>
    <w:div w:id="403993921">
      <w:marLeft w:val="0"/>
      <w:marRight w:val="0"/>
      <w:marTop w:val="0"/>
      <w:marBottom w:val="0"/>
      <w:divBdr>
        <w:top w:val="none" w:sz="0" w:space="0" w:color="auto"/>
        <w:left w:val="none" w:sz="0" w:space="0" w:color="auto"/>
        <w:bottom w:val="none" w:sz="0" w:space="0" w:color="auto"/>
        <w:right w:val="none" w:sz="0" w:space="0" w:color="auto"/>
      </w:divBdr>
    </w:div>
    <w:div w:id="413087017">
      <w:bodyDiv w:val="1"/>
      <w:marLeft w:val="0"/>
      <w:marRight w:val="0"/>
      <w:marTop w:val="0"/>
      <w:marBottom w:val="0"/>
      <w:divBdr>
        <w:top w:val="none" w:sz="0" w:space="0" w:color="auto"/>
        <w:left w:val="none" w:sz="0" w:space="0" w:color="auto"/>
        <w:bottom w:val="none" w:sz="0" w:space="0" w:color="auto"/>
        <w:right w:val="none" w:sz="0" w:space="0" w:color="auto"/>
      </w:divBdr>
    </w:div>
    <w:div w:id="415781813">
      <w:bodyDiv w:val="1"/>
      <w:marLeft w:val="0"/>
      <w:marRight w:val="0"/>
      <w:marTop w:val="0"/>
      <w:marBottom w:val="0"/>
      <w:divBdr>
        <w:top w:val="none" w:sz="0" w:space="0" w:color="auto"/>
        <w:left w:val="none" w:sz="0" w:space="0" w:color="auto"/>
        <w:bottom w:val="none" w:sz="0" w:space="0" w:color="auto"/>
        <w:right w:val="none" w:sz="0" w:space="0" w:color="auto"/>
      </w:divBdr>
    </w:div>
    <w:div w:id="422801558">
      <w:marLeft w:val="0"/>
      <w:marRight w:val="0"/>
      <w:marTop w:val="0"/>
      <w:marBottom w:val="0"/>
      <w:divBdr>
        <w:top w:val="none" w:sz="0" w:space="0" w:color="auto"/>
        <w:left w:val="none" w:sz="0" w:space="0" w:color="auto"/>
        <w:bottom w:val="none" w:sz="0" w:space="0" w:color="auto"/>
        <w:right w:val="none" w:sz="0" w:space="0" w:color="auto"/>
      </w:divBdr>
    </w:div>
    <w:div w:id="452603046">
      <w:marLeft w:val="0"/>
      <w:marRight w:val="0"/>
      <w:marTop w:val="0"/>
      <w:marBottom w:val="0"/>
      <w:divBdr>
        <w:top w:val="none" w:sz="0" w:space="0" w:color="auto"/>
        <w:left w:val="none" w:sz="0" w:space="0" w:color="auto"/>
        <w:bottom w:val="none" w:sz="0" w:space="0" w:color="auto"/>
        <w:right w:val="none" w:sz="0" w:space="0" w:color="auto"/>
      </w:divBdr>
    </w:div>
    <w:div w:id="462817216">
      <w:marLeft w:val="0"/>
      <w:marRight w:val="0"/>
      <w:marTop w:val="0"/>
      <w:marBottom w:val="0"/>
      <w:divBdr>
        <w:top w:val="none" w:sz="0" w:space="0" w:color="auto"/>
        <w:left w:val="none" w:sz="0" w:space="0" w:color="auto"/>
        <w:bottom w:val="none" w:sz="0" w:space="0" w:color="auto"/>
        <w:right w:val="none" w:sz="0" w:space="0" w:color="auto"/>
      </w:divBdr>
    </w:div>
    <w:div w:id="465244061">
      <w:bodyDiv w:val="1"/>
      <w:marLeft w:val="0"/>
      <w:marRight w:val="0"/>
      <w:marTop w:val="0"/>
      <w:marBottom w:val="0"/>
      <w:divBdr>
        <w:top w:val="none" w:sz="0" w:space="0" w:color="auto"/>
        <w:left w:val="none" w:sz="0" w:space="0" w:color="auto"/>
        <w:bottom w:val="none" w:sz="0" w:space="0" w:color="auto"/>
        <w:right w:val="none" w:sz="0" w:space="0" w:color="auto"/>
      </w:divBdr>
    </w:div>
    <w:div w:id="467669224">
      <w:marLeft w:val="0"/>
      <w:marRight w:val="0"/>
      <w:marTop w:val="0"/>
      <w:marBottom w:val="0"/>
      <w:divBdr>
        <w:top w:val="none" w:sz="0" w:space="0" w:color="auto"/>
        <w:left w:val="none" w:sz="0" w:space="0" w:color="auto"/>
        <w:bottom w:val="none" w:sz="0" w:space="0" w:color="auto"/>
        <w:right w:val="none" w:sz="0" w:space="0" w:color="auto"/>
      </w:divBdr>
    </w:div>
    <w:div w:id="468203633">
      <w:marLeft w:val="0"/>
      <w:marRight w:val="0"/>
      <w:marTop w:val="0"/>
      <w:marBottom w:val="0"/>
      <w:divBdr>
        <w:top w:val="none" w:sz="0" w:space="0" w:color="auto"/>
        <w:left w:val="none" w:sz="0" w:space="0" w:color="auto"/>
        <w:bottom w:val="none" w:sz="0" w:space="0" w:color="auto"/>
        <w:right w:val="none" w:sz="0" w:space="0" w:color="auto"/>
      </w:divBdr>
    </w:div>
    <w:div w:id="471559435">
      <w:marLeft w:val="0"/>
      <w:marRight w:val="0"/>
      <w:marTop w:val="0"/>
      <w:marBottom w:val="0"/>
      <w:divBdr>
        <w:top w:val="none" w:sz="0" w:space="0" w:color="auto"/>
        <w:left w:val="none" w:sz="0" w:space="0" w:color="auto"/>
        <w:bottom w:val="none" w:sz="0" w:space="0" w:color="auto"/>
        <w:right w:val="none" w:sz="0" w:space="0" w:color="auto"/>
      </w:divBdr>
    </w:div>
    <w:div w:id="475100657">
      <w:marLeft w:val="0"/>
      <w:marRight w:val="0"/>
      <w:marTop w:val="0"/>
      <w:marBottom w:val="0"/>
      <w:divBdr>
        <w:top w:val="none" w:sz="0" w:space="0" w:color="auto"/>
        <w:left w:val="none" w:sz="0" w:space="0" w:color="auto"/>
        <w:bottom w:val="none" w:sz="0" w:space="0" w:color="auto"/>
        <w:right w:val="none" w:sz="0" w:space="0" w:color="auto"/>
      </w:divBdr>
    </w:div>
    <w:div w:id="480774774">
      <w:marLeft w:val="0"/>
      <w:marRight w:val="0"/>
      <w:marTop w:val="0"/>
      <w:marBottom w:val="0"/>
      <w:divBdr>
        <w:top w:val="none" w:sz="0" w:space="0" w:color="auto"/>
        <w:left w:val="none" w:sz="0" w:space="0" w:color="auto"/>
        <w:bottom w:val="none" w:sz="0" w:space="0" w:color="auto"/>
        <w:right w:val="none" w:sz="0" w:space="0" w:color="auto"/>
      </w:divBdr>
    </w:div>
    <w:div w:id="500968926">
      <w:marLeft w:val="0"/>
      <w:marRight w:val="0"/>
      <w:marTop w:val="0"/>
      <w:marBottom w:val="0"/>
      <w:divBdr>
        <w:top w:val="none" w:sz="0" w:space="0" w:color="auto"/>
        <w:left w:val="none" w:sz="0" w:space="0" w:color="auto"/>
        <w:bottom w:val="none" w:sz="0" w:space="0" w:color="auto"/>
        <w:right w:val="none" w:sz="0" w:space="0" w:color="auto"/>
      </w:divBdr>
    </w:div>
    <w:div w:id="506215384">
      <w:bodyDiv w:val="1"/>
      <w:marLeft w:val="0"/>
      <w:marRight w:val="0"/>
      <w:marTop w:val="0"/>
      <w:marBottom w:val="0"/>
      <w:divBdr>
        <w:top w:val="none" w:sz="0" w:space="0" w:color="auto"/>
        <w:left w:val="none" w:sz="0" w:space="0" w:color="auto"/>
        <w:bottom w:val="none" w:sz="0" w:space="0" w:color="auto"/>
        <w:right w:val="none" w:sz="0" w:space="0" w:color="auto"/>
      </w:divBdr>
    </w:div>
    <w:div w:id="511263251">
      <w:marLeft w:val="0"/>
      <w:marRight w:val="0"/>
      <w:marTop w:val="0"/>
      <w:marBottom w:val="0"/>
      <w:divBdr>
        <w:top w:val="none" w:sz="0" w:space="0" w:color="auto"/>
        <w:left w:val="none" w:sz="0" w:space="0" w:color="auto"/>
        <w:bottom w:val="none" w:sz="0" w:space="0" w:color="auto"/>
        <w:right w:val="none" w:sz="0" w:space="0" w:color="auto"/>
      </w:divBdr>
    </w:div>
    <w:div w:id="512648470">
      <w:bodyDiv w:val="1"/>
      <w:marLeft w:val="0"/>
      <w:marRight w:val="0"/>
      <w:marTop w:val="0"/>
      <w:marBottom w:val="0"/>
      <w:divBdr>
        <w:top w:val="none" w:sz="0" w:space="0" w:color="auto"/>
        <w:left w:val="none" w:sz="0" w:space="0" w:color="auto"/>
        <w:bottom w:val="none" w:sz="0" w:space="0" w:color="auto"/>
        <w:right w:val="none" w:sz="0" w:space="0" w:color="auto"/>
      </w:divBdr>
    </w:div>
    <w:div w:id="526211801">
      <w:marLeft w:val="0"/>
      <w:marRight w:val="0"/>
      <w:marTop w:val="0"/>
      <w:marBottom w:val="0"/>
      <w:divBdr>
        <w:top w:val="none" w:sz="0" w:space="0" w:color="auto"/>
        <w:left w:val="none" w:sz="0" w:space="0" w:color="auto"/>
        <w:bottom w:val="none" w:sz="0" w:space="0" w:color="auto"/>
        <w:right w:val="none" w:sz="0" w:space="0" w:color="auto"/>
      </w:divBdr>
    </w:div>
    <w:div w:id="527333356">
      <w:marLeft w:val="0"/>
      <w:marRight w:val="0"/>
      <w:marTop w:val="0"/>
      <w:marBottom w:val="0"/>
      <w:divBdr>
        <w:top w:val="none" w:sz="0" w:space="0" w:color="auto"/>
        <w:left w:val="none" w:sz="0" w:space="0" w:color="auto"/>
        <w:bottom w:val="none" w:sz="0" w:space="0" w:color="auto"/>
        <w:right w:val="none" w:sz="0" w:space="0" w:color="auto"/>
      </w:divBdr>
    </w:div>
    <w:div w:id="529729136">
      <w:marLeft w:val="0"/>
      <w:marRight w:val="0"/>
      <w:marTop w:val="0"/>
      <w:marBottom w:val="0"/>
      <w:divBdr>
        <w:top w:val="none" w:sz="0" w:space="0" w:color="auto"/>
        <w:left w:val="none" w:sz="0" w:space="0" w:color="auto"/>
        <w:bottom w:val="none" w:sz="0" w:space="0" w:color="auto"/>
        <w:right w:val="none" w:sz="0" w:space="0" w:color="auto"/>
      </w:divBdr>
    </w:div>
    <w:div w:id="531188603">
      <w:marLeft w:val="0"/>
      <w:marRight w:val="0"/>
      <w:marTop w:val="0"/>
      <w:marBottom w:val="0"/>
      <w:divBdr>
        <w:top w:val="none" w:sz="0" w:space="0" w:color="auto"/>
        <w:left w:val="none" w:sz="0" w:space="0" w:color="auto"/>
        <w:bottom w:val="none" w:sz="0" w:space="0" w:color="auto"/>
        <w:right w:val="none" w:sz="0" w:space="0" w:color="auto"/>
      </w:divBdr>
    </w:div>
    <w:div w:id="535852789">
      <w:marLeft w:val="0"/>
      <w:marRight w:val="0"/>
      <w:marTop w:val="0"/>
      <w:marBottom w:val="0"/>
      <w:divBdr>
        <w:top w:val="none" w:sz="0" w:space="0" w:color="auto"/>
        <w:left w:val="none" w:sz="0" w:space="0" w:color="auto"/>
        <w:bottom w:val="none" w:sz="0" w:space="0" w:color="auto"/>
        <w:right w:val="none" w:sz="0" w:space="0" w:color="auto"/>
      </w:divBdr>
    </w:div>
    <w:div w:id="546062969">
      <w:marLeft w:val="0"/>
      <w:marRight w:val="0"/>
      <w:marTop w:val="0"/>
      <w:marBottom w:val="0"/>
      <w:divBdr>
        <w:top w:val="none" w:sz="0" w:space="0" w:color="auto"/>
        <w:left w:val="none" w:sz="0" w:space="0" w:color="auto"/>
        <w:bottom w:val="none" w:sz="0" w:space="0" w:color="auto"/>
        <w:right w:val="none" w:sz="0" w:space="0" w:color="auto"/>
      </w:divBdr>
    </w:div>
    <w:div w:id="549727359">
      <w:bodyDiv w:val="1"/>
      <w:marLeft w:val="0"/>
      <w:marRight w:val="0"/>
      <w:marTop w:val="0"/>
      <w:marBottom w:val="0"/>
      <w:divBdr>
        <w:top w:val="none" w:sz="0" w:space="0" w:color="auto"/>
        <w:left w:val="none" w:sz="0" w:space="0" w:color="auto"/>
        <w:bottom w:val="none" w:sz="0" w:space="0" w:color="auto"/>
        <w:right w:val="none" w:sz="0" w:space="0" w:color="auto"/>
      </w:divBdr>
    </w:div>
    <w:div w:id="564338109">
      <w:marLeft w:val="0"/>
      <w:marRight w:val="0"/>
      <w:marTop w:val="0"/>
      <w:marBottom w:val="0"/>
      <w:divBdr>
        <w:top w:val="none" w:sz="0" w:space="0" w:color="auto"/>
        <w:left w:val="none" w:sz="0" w:space="0" w:color="auto"/>
        <w:bottom w:val="none" w:sz="0" w:space="0" w:color="auto"/>
        <w:right w:val="none" w:sz="0" w:space="0" w:color="auto"/>
      </w:divBdr>
    </w:div>
    <w:div w:id="571621757">
      <w:marLeft w:val="0"/>
      <w:marRight w:val="0"/>
      <w:marTop w:val="0"/>
      <w:marBottom w:val="0"/>
      <w:divBdr>
        <w:top w:val="none" w:sz="0" w:space="0" w:color="auto"/>
        <w:left w:val="none" w:sz="0" w:space="0" w:color="auto"/>
        <w:bottom w:val="none" w:sz="0" w:space="0" w:color="auto"/>
        <w:right w:val="none" w:sz="0" w:space="0" w:color="auto"/>
      </w:divBdr>
    </w:div>
    <w:div w:id="573587356">
      <w:marLeft w:val="0"/>
      <w:marRight w:val="0"/>
      <w:marTop w:val="0"/>
      <w:marBottom w:val="0"/>
      <w:divBdr>
        <w:top w:val="none" w:sz="0" w:space="0" w:color="auto"/>
        <w:left w:val="none" w:sz="0" w:space="0" w:color="auto"/>
        <w:bottom w:val="none" w:sz="0" w:space="0" w:color="auto"/>
        <w:right w:val="none" w:sz="0" w:space="0" w:color="auto"/>
      </w:divBdr>
    </w:div>
    <w:div w:id="581524406">
      <w:marLeft w:val="0"/>
      <w:marRight w:val="0"/>
      <w:marTop w:val="0"/>
      <w:marBottom w:val="0"/>
      <w:divBdr>
        <w:top w:val="none" w:sz="0" w:space="0" w:color="auto"/>
        <w:left w:val="none" w:sz="0" w:space="0" w:color="auto"/>
        <w:bottom w:val="none" w:sz="0" w:space="0" w:color="auto"/>
        <w:right w:val="none" w:sz="0" w:space="0" w:color="auto"/>
      </w:divBdr>
    </w:div>
    <w:div w:id="592739439">
      <w:marLeft w:val="0"/>
      <w:marRight w:val="0"/>
      <w:marTop w:val="0"/>
      <w:marBottom w:val="0"/>
      <w:divBdr>
        <w:top w:val="none" w:sz="0" w:space="0" w:color="auto"/>
        <w:left w:val="none" w:sz="0" w:space="0" w:color="auto"/>
        <w:bottom w:val="none" w:sz="0" w:space="0" w:color="auto"/>
        <w:right w:val="none" w:sz="0" w:space="0" w:color="auto"/>
      </w:divBdr>
    </w:div>
    <w:div w:id="604309599">
      <w:bodyDiv w:val="1"/>
      <w:marLeft w:val="0"/>
      <w:marRight w:val="0"/>
      <w:marTop w:val="0"/>
      <w:marBottom w:val="0"/>
      <w:divBdr>
        <w:top w:val="none" w:sz="0" w:space="0" w:color="auto"/>
        <w:left w:val="none" w:sz="0" w:space="0" w:color="auto"/>
        <w:bottom w:val="none" w:sz="0" w:space="0" w:color="auto"/>
        <w:right w:val="none" w:sz="0" w:space="0" w:color="auto"/>
      </w:divBdr>
    </w:div>
    <w:div w:id="606812384">
      <w:marLeft w:val="0"/>
      <w:marRight w:val="0"/>
      <w:marTop w:val="0"/>
      <w:marBottom w:val="0"/>
      <w:divBdr>
        <w:top w:val="none" w:sz="0" w:space="0" w:color="auto"/>
        <w:left w:val="none" w:sz="0" w:space="0" w:color="auto"/>
        <w:bottom w:val="none" w:sz="0" w:space="0" w:color="auto"/>
        <w:right w:val="none" w:sz="0" w:space="0" w:color="auto"/>
      </w:divBdr>
    </w:div>
    <w:div w:id="608704221">
      <w:bodyDiv w:val="1"/>
      <w:marLeft w:val="0"/>
      <w:marRight w:val="0"/>
      <w:marTop w:val="0"/>
      <w:marBottom w:val="0"/>
      <w:divBdr>
        <w:top w:val="none" w:sz="0" w:space="0" w:color="auto"/>
        <w:left w:val="none" w:sz="0" w:space="0" w:color="auto"/>
        <w:bottom w:val="none" w:sz="0" w:space="0" w:color="auto"/>
        <w:right w:val="none" w:sz="0" w:space="0" w:color="auto"/>
      </w:divBdr>
    </w:div>
    <w:div w:id="612178679">
      <w:marLeft w:val="0"/>
      <w:marRight w:val="0"/>
      <w:marTop w:val="0"/>
      <w:marBottom w:val="0"/>
      <w:divBdr>
        <w:top w:val="none" w:sz="0" w:space="0" w:color="auto"/>
        <w:left w:val="none" w:sz="0" w:space="0" w:color="auto"/>
        <w:bottom w:val="none" w:sz="0" w:space="0" w:color="auto"/>
        <w:right w:val="none" w:sz="0" w:space="0" w:color="auto"/>
      </w:divBdr>
    </w:div>
    <w:div w:id="617371310">
      <w:bodyDiv w:val="1"/>
      <w:marLeft w:val="0"/>
      <w:marRight w:val="0"/>
      <w:marTop w:val="0"/>
      <w:marBottom w:val="0"/>
      <w:divBdr>
        <w:top w:val="none" w:sz="0" w:space="0" w:color="auto"/>
        <w:left w:val="none" w:sz="0" w:space="0" w:color="auto"/>
        <w:bottom w:val="none" w:sz="0" w:space="0" w:color="auto"/>
        <w:right w:val="none" w:sz="0" w:space="0" w:color="auto"/>
      </w:divBdr>
    </w:div>
    <w:div w:id="622926748">
      <w:marLeft w:val="0"/>
      <w:marRight w:val="0"/>
      <w:marTop w:val="0"/>
      <w:marBottom w:val="0"/>
      <w:divBdr>
        <w:top w:val="none" w:sz="0" w:space="0" w:color="auto"/>
        <w:left w:val="none" w:sz="0" w:space="0" w:color="auto"/>
        <w:bottom w:val="none" w:sz="0" w:space="0" w:color="auto"/>
        <w:right w:val="none" w:sz="0" w:space="0" w:color="auto"/>
      </w:divBdr>
    </w:div>
    <w:div w:id="637028517">
      <w:bodyDiv w:val="1"/>
      <w:marLeft w:val="0"/>
      <w:marRight w:val="0"/>
      <w:marTop w:val="0"/>
      <w:marBottom w:val="0"/>
      <w:divBdr>
        <w:top w:val="none" w:sz="0" w:space="0" w:color="auto"/>
        <w:left w:val="none" w:sz="0" w:space="0" w:color="auto"/>
        <w:bottom w:val="none" w:sz="0" w:space="0" w:color="auto"/>
        <w:right w:val="none" w:sz="0" w:space="0" w:color="auto"/>
      </w:divBdr>
    </w:div>
    <w:div w:id="652098154">
      <w:marLeft w:val="0"/>
      <w:marRight w:val="0"/>
      <w:marTop w:val="0"/>
      <w:marBottom w:val="0"/>
      <w:divBdr>
        <w:top w:val="none" w:sz="0" w:space="0" w:color="auto"/>
        <w:left w:val="none" w:sz="0" w:space="0" w:color="auto"/>
        <w:bottom w:val="none" w:sz="0" w:space="0" w:color="auto"/>
        <w:right w:val="none" w:sz="0" w:space="0" w:color="auto"/>
      </w:divBdr>
    </w:div>
    <w:div w:id="652299704">
      <w:marLeft w:val="0"/>
      <w:marRight w:val="0"/>
      <w:marTop w:val="0"/>
      <w:marBottom w:val="0"/>
      <w:divBdr>
        <w:top w:val="none" w:sz="0" w:space="0" w:color="auto"/>
        <w:left w:val="none" w:sz="0" w:space="0" w:color="auto"/>
        <w:bottom w:val="none" w:sz="0" w:space="0" w:color="auto"/>
        <w:right w:val="none" w:sz="0" w:space="0" w:color="auto"/>
      </w:divBdr>
    </w:div>
    <w:div w:id="659890439">
      <w:marLeft w:val="0"/>
      <w:marRight w:val="0"/>
      <w:marTop w:val="0"/>
      <w:marBottom w:val="0"/>
      <w:divBdr>
        <w:top w:val="none" w:sz="0" w:space="0" w:color="auto"/>
        <w:left w:val="none" w:sz="0" w:space="0" w:color="auto"/>
        <w:bottom w:val="none" w:sz="0" w:space="0" w:color="auto"/>
        <w:right w:val="none" w:sz="0" w:space="0" w:color="auto"/>
      </w:divBdr>
    </w:div>
    <w:div w:id="666330070">
      <w:marLeft w:val="0"/>
      <w:marRight w:val="0"/>
      <w:marTop w:val="0"/>
      <w:marBottom w:val="0"/>
      <w:divBdr>
        <w:top w:val="none" w:sz="0" w:space="0" w:color="auto"/>
        <w:left w:val="none" w:sz="0" w:space="0" w:color="auto"/>
        <w:bottom w:val="none" w:sz="0" w:space="0" w:color="auto"/>
        <w:right w:val="none" w:sz="0" w:space="0" w:color="auto"/>
      </w:divBdr>
    </w:div>
    <w:div w:id="676883002">
      <w:bodyDiv w:val="1"/>
      <w:marLeft w:val="0"/>
      <w:marRight w:val="0"/>
      <w:marTop w:val="0"/>
      <w:marBottom w:val="0"/>
      <w:divBdr>
        <w:top w:val="none" w:sz="0" w:space="0" w:color="auto"/>
        <w:left w:val="none" w:sz="0" w:space="0" w:color="auto"/>
        <w:bottom w:val="none" w:sz="0" w:space="0" w:color="auto"/>
        <w:right w:val="none" w:sz="0" w:space="0" w:color="auto"/>
      </w:divBdr>
    </w:div>
    <w:div w:id="683409411">
      <w:marLeft w:val="0"/>
      <w:marRight w:val="0"/>
      <w:marTop w:val="0"/>
      <w:marBottom w:val="0"/>
      <w:divBdr>
        <w:top w:val="none" w:sz="0" w:space="0" w:color="auto"/>
        <w:left w:val="none" w:sz="0" w:space="0" w:color="auto"/>
        <w:bottom w:val="none" w:sz="0" w:space="0" w:color="auto"/>
        <w:right w:val="none" w:sz="0" w:space="0" w:color="auto"/>
      </w:divBdr>
    </w:div>
    <w:div w:id="695885569">
      <w:marLeft w:val="0"/>
      <w:marRight w:val="0"/>
      <w:marTop w:val="0"/>
      <w:marBottom w:val="0"/>
      <w:divBdr>
        <w:top w:val="none" w:sz="0" w:space="0" w:color="auto"/>
        <w:left w:val="none" w:sz="0" w:space="0" w:color="auto"/>
        <w:bottom w:val="none" w:sz="0" w:space="0" w:color="auto"/>
        <w:right w:val="none" w:sz="0" w:space="0" w:color="auto"/>
      </w:divBdr>
    </w:div>
    <w:div w:id="704988395">
      <w:marLeft w:val="0"/>
      <w:marRight w:val="0"/>
      <w:marTop w:val="0"/>
      <w:marBottom w:val="0"/>
      <w:divBdr>
        <w:top w:val="none" w:sz="0" w:space="0" w:color="auto"/>
        <w:left w:val="none" w:sz="0" w:space="0" w:color="auto"/>
        <w:bottom w:val="none" w:sz="0" w:space="0" w:color="auto"/>
        <w:right w:val="none" w:sz="0" w:space="0" w:color="auto"/>
      </w:divBdr>
    </w:div>
    <w:div w:id="720596469">
      <w:marLeft w:val="0"/>
      <w:marRight w:val="0"/>
      <w:marTop w:val="0"/>
      <w:marBottom w:val="0"/>
      <w:divBdr>
        <w:top w:val="none" w:sz="0" w:space="0" w:color="auto"/>
        <w:left w:val="none" w:sz="0" w:space="0" w:color="auto"/>
        <w:bottom w:val="none" w:sz="0" w:space="0" w:color="auto"/>
        <w:right w:val="none" w:sz="0" w:space="0" w:color="auto"/>
      </w:divBdr>
    </w:div>
    <w:div w:id="728500710">
      <w:marLeft w:val="0"/>
      <w:marRight w:val="0"/>
      <w:marTop w:val="0"/>
      <w:marBottom w:val="0"/>
      <w:divBdr>
        <w:top w:val="none" w:sz="0" w:space="0" w:color="auto"/>
        <w:left w:val="none" w:sz="0" w:space="0" w:color="auto"/>
        <w:bottom w:val="none" w:sz="0" w:space="0" w:color="auto"/>
        <w:right w:val="none" w:sz="0" w:space="0" w:color="auto"/>
      </w:divBdr>
    </w:div>
    <w:div w:id="739324974">
      <w:bodyDiv w:val="1"/>
      <w:marLeft w:val="0"/>
      <w:marRight w:val="0"/>
      <w:marTop w:val="0"/>
      <w:marBottom w:val="0"/>
      <w:divBdr>
        <w:top w:val="none" w:sz="0" w:space="0" w:color="auto"/>
        <w:left w:val="none" w:sz="0" w:space="0" w:color="auto"/>
        <w:bottom w:val="none" w:sz="0" w:space="0" w:color="auto"/>
        <w:right w:val="none" w:sz="0" w:space="0" w:color="auto"/>
      </w:divBdr>
    </w:div>
    <w:div w:id="741172130">
      <w:marLeft w:val="0"/>
      <w:marRight w:val="0"/>
      <w:marTop w:val="0"/>
      <w:marBottom w:val="0"/>
      <w:divBdr>
        <w:top w:val="none" w:sz="0" w:space="0" w:color="auto"/>
        <w:left w:val="none" w:sz="0" w:space="0" w:color="auto"/>
        <w:bottom w:val="none" w:sz="0" w:space="0" w:color="auto"/>
        <w:right w:val="none" w:sz="0" w:space="0" w:color="auto"/>
      </w:divBdr>
    </w:div>
    <w:div w:id="746611899">
      <w:marLeft w:val="0"/>
      <w:marRight w:val="0"/>
      <w:marTop w:val="0"/>
      <w:marBottom w:val="0"/>
      <w:divBdr>
        <w:top w:val="none" w:sz="0" w:space="0" w:color="auto"/>
        <w:left w:val="none" w:sz="0" w:space="0" w:color="auto"/>
        <w:bottom w:val="none" w:sz="0" w:space="0" w:color="auto"/>
        <w:right w:val="none" w:sz="0" w:space="0" w:color="auto"/>
      </w:divBdr>
    </w:div>
    <w:div w:id="747338882">
      <w:marLeft w:val="0"/>
      <w:marRight w:val="0"/>
      <w:marTop w:val="0"/>
      <w:marBottom w:val="0"/>
      <w:divBdr>
        <w:top w:val="none" w:sz="0" w:space="0" w:color="auto"/>
        <w:left w:val="none" w:sz="0" w:space="0" w:color="auto"/>
        <w:bottom w:val="none" w:sz="0" w:space="0" w:color="auto"/>
        <w:right w:val="none" w:sz="0" w:space="0" w:color="auto"/>
      </w:divBdr>
    </w:div>
    <w:div w:id="748498843">
      <w:marLeft w:val="0"/>
      <w:marRight w:val="0"/>
      <w:marTop w:val="0"/>
      <w:marBottom w:val="0"/>
      <w:divBdr>
        <w:top w:val="none" w:sz="0" w:space="0" w:color="auto"/>
        <w:left w:val="none" w:sz="0" w:space="0" w:color="auto"/>
        <w:bottom w:val="none" w:sz="0" w:space="0" w:color="auto"/>
        <w:right w:val="none" w:sz="0" w:space="0" w:color="auto"/>
      </w:divBdr>
    </w:div>
    <w:div w:id="751778648">
      <w:marLeft w:val="0"/>
      <w:marRight w:val="0"/>
      <w:marTop w:val="0"/>
      <w:marBottom w:val="0"/>
      <w:divBdr>
        <w:top w:val="none" w:sz="0" w:space="0" w:color="auto"/>
        <w:left w:val="none" w:sz="0" w:space="0" w:color="auto"/>
        <w:bottom w:val="none" w:sz="0" w:space="0" w:color="auto"/>
        <w:right w:val="none" w:sz="0" w:space="0" w:color="auto"/>
      </w:divBdr>
    </w:div>
    <w:div w:id="767121724">
      <w:bodyDiv w:val="1"/>
      <w:marLeft w:val="0"/>
      <w:marRight w:val="0"/>
      <w:marTop w:val="0"/>
      <w:marBottom w:val="0"/>
      <w:divBdr>
        <w:top w:val="none" w:sz="0" w:space="0" w:color="auto"/>
        <w:left w:val="none" w:sz="0" w:space="0" w:color="auto"/>
        <w:bottom w:val="none" w:sz="0" w:space="0" w:color="auto"/>
        <w:right w:val="none" w:sz="0" w:space="0" w:color="auto"/>
      </w:divBdr>
    </w:div>
    <w:div w:id="779301835">
      <w:marLeft w:val="0"/>
      <w:marRight w:val="0"/>
      <w:marTop w:val="0"/>
      <w:marBottom w:val="0"/>
      <w:divBdr>
        <w:top w:val="none" w:sz="0" w:space="0" w:color="auto"/>
        <w:left w:val="none" w:sz="0" w:space="0" w:color="auto"/>
        <w:bottom w:val="none" w:sz="0" w:space="0" w:color="auto"/>
        <w:right w:val="none" w:sz="0" w:space="0" w:color="auto"/>
      </w:divBdr>
    </w:div>
    <w:div w:id="784277863">
      <w:marLeft w:val="0"/>
      <w:marRight w:val="0"/>
      <w:marTop w:val="0"/>
      <w:marBottom w:val="0"/>
      <w:divBdr>
        <w:top w:val="none" w:sz="0" w:space="0" w:color="auto"/>
        <w:left w:val="none" w:sz="0" w:space="0" w:color="auto"/>
        <w:bottom w:val="none" w:sz="0" w:space="0" w:color="auto"/>
        <w:right w:val="none" w:sz="0" w:space="0" w:color="auto"/>
      </w:divBdr>
    </w:div>
    <w:div w:id="789014430">
      <w:marLeft w:val="0"/>
      <w:marRight w:val="0"/>
      <w:marTop w:val="0"/>
      <w:marBottom w:val="0"/>
      <w:divBdr>
        <w:top w:val="none" w:sz="0" w:space="0" w:color="auto"/>
        <w:left w:val="none" w:sz="0" w:space="0" w:color="auto"/>
        <w:bottom w:val="none" w:sz="0" w:space="0" w:color="auto"/>
        <w:right w:val="none" w:sz="0" w:space="0" w:color="auto"/>
      </w:divBdr>
    </w:div>
    <w:div w:id="793906340">
      <w:bodyDiv w:val="1"/>
      <w:marLeft w:val="0"/>
      <w:marRight w:val="0"/>
      <w:marTop w:val="0"/>
      <w:marBottom w:val="0"/>
      <w:divBdr>
        <w:top w:val="none" w:sz="0" w:space="0" w:color="auto"/>
        <w:left w:val="none" w:sz="0" w:space="0" w:color="auto"/>
        <w:bottom w:val="none" w:sz="0" w:space="0" w:color="auto"/>
        <w:right w:val="none" w:sz="0" w:space="0" w:color="auto"/>
      </w:divBdr>
    </w:div>
    <w:div w:id="795954583">
      <w:marLeft w:val="0"/>
      <w:marRight w:val="0"/>
      <w:marTop w:val="0"/>
      <w:marBottom w:val="0"/>
      <w:divBdr>
        <w:top w:val="none" w:sz="0" w:space="0" w:color="auto"/>
        <w:left w:val="none" w:sz="0" w:space="0" w:color="auto"/>
        <w:bottom w:val="none" w:sz="0" w:space="0" w:color="auto"/>
        <w:right w:val="none" w:sz="0" w:space="0" w:color="auto"/>
      </w:divBdr>
    </w:div>
    <w:div w:id="800152440">
      <w:marLeft w:val="0"/>
      <w:marRight w:val="0"/>
      <w:marTop w:val="0"/>
      <w:marBottom w:val="0"/>
      <w:divBdr>
        <w:top w:val="none" w:sz="0" w:space="0" w:color="auto"/>
        <w:left w:val="none" w:sz="0" w:space="0" w:color="auto"/>
        <w:bottom w:val="none" w:sz="0" w:space="0" w:color="auto"/>
        <w:right w:val="none" w:sz="0" w:space="0" w:color="auto"/>
      </w:divBdr>
    </w:div>
    <w:div w:id="805271268">
      <w:marLeft w:val="0"/>
      <w:marRight w:val="0"/>
      <w:marTop w:val="0"/>
      <w:marBottom w:val="0"/>
      <w:divBdr>
        <w:top w:val="none" w:sz="0" w:space="0" w:color="auto"/>
        <w:left w:val="none" w:sz="0" w:space="0" w:color="auto"/>
        <w:bottom w:val="none" w:sz="0" w:space="0" w:color="auto"/>
        <w:right w:val="none" w:sz="0" w:space="0" w:color="auto"/>
      </w:divBdr>
    </w:div>
    <w:div w:id="809445753">
      <w:marLeft w:val="0"/>
      <w:marRight w:val="0"/>
      <w:marTop w:val="0"/>
      <w:marBottom w:val="0"/>
      <w:divBdr>
        <w:top w:val="none" w:sz="0" w:space="0" w:color="auto"/>
        <w:left w:val="none" w:sz="0" w:space="0" w:color="auto"/>
        <w:bottom w:val="none" w:sz="0" w:space="0" w:color="auto"/>
        <w:right w:val="none" w:sz="0" w:space="0" w:color="auto"/>
      </w:divBdr>
    </w:div>
    <w:div w:id="819999972">
      <w:bodyDiv w:val="1"/>
      <w:marLeft w:val="0"/>
      <w:marRight w:val="0"/>
      <w:marTop w:val="0"/>
      <w:marBottom w:val="0"/>
      <w:divBdr>
        <w:top w:val="none" w:sz="0" w:space="0" w:color="auto"/>
        <w:left w:val="none" w:sz="0" w:space="0" w:color="auto"/>
        <w:bottom w:val="none" w:sz="0" w:space="0" w:color="auto"/>
        <w:right w:val="none" w:sz="0" w:space="0" w:color="auto"/>
      </w:divBdr>
    </w:div>
    <w:div w:id="821508622">
      <w:bodyDiv w:val="1"/>
      <w:marLeft w:val="0"/>
      <w:marRight w:val="0"/>
      <w:marTop w:val="0"/>
      <w:marBottom w:val="0"/>
      <w:divBdr>
        <w:top w:val="none" w:sz="0" w:space="0" w:color="auto"/>
        <w:left w:val="none" w:sz="0" w:space="0" w:color="auto"/>
        <w:bottom w:val="none" w:sz="0" w:space="0" w:color="auto"/>
        <w:right w:val="none" w:sz="0" w:space="0" w:color="auto"/>
      </w:divBdr>
    </w:div>
    <w:div w:id="832840488">
      <w:bodyDiv w:val="1"/>
      <w:marLeft w:val="0"/>
      <w:marRight w:val="0"/>
      <w:marTop w:val="0"/>
      <w:marBottom w:val="0"/>
      <w:divBdr>
        <w:top w:val="none" w:sz="0" w:space="0" w:color="auto"/>
        <w:left w:val="none" w:sz="0" w:space="0" w:color="auto"/>
        <w:bottom w:val="none" w:sz="0" w:space="0" w:color="auto"/>
        <w:right w:val="none" w:sz="0" w:space="0" w:color="auto"/>
      </w:divBdr>
      <w:divsChild>
        <w:div w:id="849955656">
          <w:marLeft w:val="0"/>
          <w:marRight w:val="0"/>
          <w:marTop w:val="0"/>
          <w:marBottom w:val="0"/>
          <w:divBdr>
            <w:top w:val="none" w:sz="0" w:space="0" w:color="auto"/>
            <w:left w:val="none" w:sz="0" w:space="0" w:color="auto"/>
            <w:bottom w:val="none" w:sz="0" w:space="0" w:color="auto"/>
            <w:right w:val="none" w:sz="0" w:space="0" w:color="auto"/>
          </w:divBdr>
          <w:divsChild>
            <w:div w:id="57057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303653">
      <w:marLeft w:val="0"/>
      <w:marRight w:val="0"/>
      <w:marTop w:val="0"/>
      <w:marBottom w:val="0"/>
      <w:divBdr>
        <w:top w:val="none" w:sz="0" w:space="0" w:color="auto"/>
        <w:left w:val="none" w:sz="0" w:space="0" w:color="auto"/>
        <w:bottom w:val="none" w:sz="0" w:space="0" w:color="auto"/>
        <w:right w:val="none" w:sz="0" w:space="0" w:color="auto"/>
      </w:divBdr>
    </w:div>
    <w:div w:id="838302988">
      <w:marLeft w:val="0"/>
      <w:marRight w:val="0"/>
      <w:marTop w:val="0"/>
      <w:marBottom w:val="0"/>
      <w:divBdr>
        <w:top w:val="none" w:sz="0" w:space="0" w:color="auto"/>
        <w:left w:val="none" w:sz="0" w:space="0" w:color="auto"/>
        <w:bottom w:val="none" w:sz="0" w:space="0" w:color="auto"/>
        <w:right w:val="none" w:sz="0" w:space="0" w:color="auto"/>
      </w:divBdr>
    </w:div>
    <w:div w:id="840051252">
      <w:marLeft w:val="0"/>
      <w:marRight w:val="0"/>
      <w:marTop w:val="0"/>
      <w:marBottom w:val="0"/>
      <w:divBdr>
        <w:top w:val="none" w:sz="0" w:space="0" w:color="auto"/>
        <w:left w:val="none" w:sz="0" w:space="0" w:color="auto"/>
        <w:bottom w:val="none" w:sz="0" w:space="0" w:color="auto"/>
        <w:right w:val="none" w:sz="0" w:space="0" w:color="auto"/>
      </w:divBdr>
    </w:div>
    <w:div w:id="843938732">
      <w:bodyDiv w:val="1"/>
      <w:marLeft w:val="0"/>
      <w:marRight w:val="0"/>
      <w:marTop w:val="0"/>
      <w:marBottom w:val="0"/>
      <w:divBdr>
        <w:top w:val="none" w:sz="0" w:space="0" w:color="auto"/>
        <w:left w:val="none" w:sz="0" w:space="0" w:color="auto"/>
        <w:bottom w:val="none" w:sz="0" w:space="0" w:color="auto"/>
        <w:right w:val="none" w:sz="0" w:space="0" w:color="auto"/>
      </w:divBdr>
    </w:div>
    <w:div w:id="844787586">
      <w:bodyDiv w:val="1"/>
      <w:marLeft w:val="0"/>
      <w:marRight w:val="0"/>
      <w:marTop w:val="0"/>
      <w:marBottom w:val="0"/>
      <w:divBdr>
        <w:top w:val="none" w:sz="0" w:space="0" w:color="auto"/>
        <w:left w:val="none" w:sz="0" w:space="0" w:color="auto"/>
        <w:bottom w:val="none" w:sz="0" w:space="0" w:color="auto"/>
        <w:right w:val="none" w:sz="0" w:space="0" w:color="auto"/>
      </w:divBdr>
    </w:div>
    <w:div w:id="850265024">
      <w:marLeft w:val="0"/>
      <w:marRight w:val="0"/>
      <w:marTop w:val="0"/>
      <w:marBottom w:val="0"/>
      <w:divBdr>
        <w:top w:val="none" w:sz="0" w:space="0" w:color="auto"/>
        <w:left w:val="none" w:sz="0" w:space="0" w:color="auto"/>
        <w:bottom w:val="none" w:sz="0" w:space="0" w:color="auto"/>
        <w:right w:val="none" w:sz="0" w:space="0" w:color="auto"/>
      </w:divBdr>
    </w:div>
    <w:div w:id="885681482">
      <w:marLeft w:val="0"/>
      <w:marRight w:val="0"/>
      <w:marTop w:val="0"/>
      <w:marBottom w:val="0"/>
      <w:divBdr>
        <w:top w:val="none" w:sz="0" w:space="0" w:color="auto"/>
        <w:left w:val="none" w:sz="0" w:space="0" w:color="auto"/>
        <w:bottom w:val="none" w:sz="0" w:space="0" w:color="auto"/>
        <w:right w:val="none" w:sz="0" w:space="0" w:color="auto"/>
      </w:divBdr>
    </w:div>
    <w:div w:id="892472307">
      <w:marLeft w:val="0"/>
      <w:marRight w:val="0"/>
      <w:marTop w:val="0"/>
      <w:marBottom w:val="0"/>
      <w:divBdr>
        <w:top w:val="none" w:sz="0" w:space="0" w:color="auto"/>
        <w:left w:val="none" w:sz="0" w:space="0" w:color="auto"/>
        <w:bottom w:val="none" w:sz="0" w:space="0" w:color="auto"/>
        <w:right w:val="none" w:sz="0" w:space="0" w:color="auto"/>
      </w:divBdr>
    </w:div>
    <w:div w:id="899637099">
      <w:bodyDiv w:val="1"/>
      <w:marLeft w:val="0"/>
      <w:marRight w:val="0"/>
      <w:marTop w:val="0"/>
      <w:marBottom w:val="0"/>
      <w:divBdr>
        <w:top w:val="none" w:sz="0" w:space="0" w:color="auto"/>
        <w:left w:val="none" w:sz="0" w:space="0" w:color="auto"/>
        <w:bottom w:val="none" w:sz="0" w:space="0" w:color="auto"/>
        <w:right w:val="none" w:sz="0" w:space="0" w:color="auto"/>
      </w:divBdr>
    </w:div>
    <w:div w:id="907419902">
      <w:marLeft w:val="0"/>
      <w:marRight w:val="0"/>
      <w:marTop w:val="0"/>
      <w:marBottom w:val="0"/>
      <w:divBdr>
        <w:top w:val="none" w:sz="0" w:space="0" w:color="auto"/>
        <w:left w:val="none" w:sz="0" w:space="0" w:color="auto"/>
        <w:bottom w:val="none" w:sz="0" w:space="0" w:color="auto"/>
        <w:right w:val="none" w:sz="0" w:space="0" w:color="auto"/>
      </w:divBdr>
    </w:div>
    <w:div w:id="908002754">
      <w:marLeft w:val="0"/>
      <w:marRight w:val="0"/>
      <w:marTop w:val="0"/>
      <w:marBottom w:val="0"/>
      <w:divBdr>
        <w:top w:val="none" w:sz="0" w:space="0" w:color="auto"/>
        <w:left w:val="none" w:sz="0" w:space="0" w:color="auto"/>
        <w:bottom w:val="none" w:sz="0" w:space="0" w:color="auto"/>
        <w:right w:val="none" w:sz="0" w:space="0" w:color="auto"/>
      </w:divBdr>
    </w:div>
    <w:div w:id="910579302">
      <w:marLeft w:val="0"/>
      <w:marRight w:val="0"/>
      <w:marTop w:val="0"/>
      <w:marBottom w:val="0"/>
      <w:divBdr>
        <w:top w:val="none" w:sz="0" w:space="0" w:color="auto"/>
        <w:left w:val="none" w:sz="0" w:space="0" w:color="auto"/>
        <w:bottom w:val="none" w:sz="0" w:space="0" w:color="auto"/>
        <w:right w:val="none" w:sz="0" w:space="0" w:color="auto"/>
      </w:divBdr>
    </w:div>
    <w:div w:id="913584931">
      <w:bodyDiv w:val="1"/>
      <w:marLeft w:val="0"/>
      <w:marRight w:val="0"/>
      <w:marTop w:val="0"/>
      <w:marBottom w:val="0"/>
      <w:divBdr>
        <w:top w:val="none" w:sz="0" w:space="0" w:color="auto"/>
        <w:left w:val="none" w:sz="0" w:space="0" w:color="auto"/>
        <w:bottom w:val="none" w:sz="0" w:space="0" w:color="auto"/>
        <w:right w:val="none" w:sz="0" w:space="0" w:color="auto"/>
      </w:divBdr>
    </w:div>
    <w:div w:id="927082210">
      <w:marLeft w:val="0"/>
      <w:marRight w:val="0"/>
      <w:marTop w:val="0"/>
      <w:marBottom w:val="0"/>
      <w:divBdr>
        <w:top w:val="none" w:sz="0" w:space="0" w:color="auto"/>
        <w:left w:val="none" w:sz="0" w:space="0" w:color="auto"/>
        <w:bottom w:val="none" w:sz="0" w:space="0" w:color="auto"/>
        <w:right w:val="none" w:sz="0" w:space="0" w:color="auto"/>
      </w:divBdr>
    </w:div>
    <w:div w:id="928778610">
      <w:marLeft w:val="0"/>
      <w:marRight w:val="0"/>
      <w:marTop w:val="0"/>
      <w:marBottom w:val="0"/>
      <w:divBdr>
        <w:top w:val="none" w:sz="0" w:space="0" w:color="auto"/>
        <w:left w:val="none" w:sz="0" w:space="0" w:color="auto"/>
        <w:bottom w:val="none" w:sz="0" w:space="0" w:color="auto"/>
        <w:right w:val="none" w:sz="0" w:space="0" w:color="auto"/>
      </w:divBdr>
    </w:div>
    <w:div w:id="929319090">
      <w:bodyDiv w:val="1"/>
      <w:marLeft w:val="0"/>
      <w:marRight w:val="0"/>
      <w:marTop w:val="0"/>
      <w:marBottom w:val="0"/>
      <w:divBdr>
        <w:top w:val="none" w:sz="0" w:space="0" w:color="auto"/>
        <w:left w:val="none" w:sz="0" w:space="0" w:color="auto"/>
        <w:bottom w:val="none" w:sz="0" w:space="0" w:color="auto"/>
        <w:right w:val="none" w:sz="0" w:space="0" w:color="auto"/>
      </w:divBdr>
    </w:div>
    <w:div w:id="932779797">
      <w:marLeft w:val="0"/>
      <w:marRight w:val="0"/>
      <w:marTop w:val="0"/>
      <w:marBottom w:val="0"/>
      <w:divBdr>
        <w:top w:val="none" w:sz="0" w:space="0" w:color="auto"/>
        <w:left w:val="none" w:sz="0" w:space="0" w:color="auto"/>
        <w:bottom w:val="none" w:sz="0" w:space="0" w:color="auto"/>
        <w:right w:val="none" w:sz="0" w:space="0" w:color="auto"/>
      </w:divBdr>
    </w:div>
    <w:div w:id="941912837">
      <w:bodyDiv w:val="1"/>
      <w:marLeft w:val="0"/>
      <w:marRight w:val="0"/>
      <w:marTop w:val="0"/>
      <w:marBottom w:val="0"/>
      <w:divBdr>
        <w:top w:val="none" w:sz="0" w:space="0" w:color="auto"/>
        <w:left w:val="none" w:sz="0" w:space="0" w:color="auto"/>
        <w:bottom w:val="none" w:sz="0" w:space="0" w:color="auto"/>
        <w:right w:val="none" w:sz="0" w:space="0" w:color="auto"/>
      </w:divBdr>
    </w:div>
    <w:div w:id="945498568">
      <w:marLeft w:val="0"/>
      <w:marRight w:val="0"/>
      <w:marTop w:val="0"/>
      <w:marBottom w:val="0"/>
      <w:divBdr>
        <w:top w:val="none" w:sz="0" w:space="0" w:color="auto"/>
        <w:left w:val="none" w:sz="0" w:space="0" w:color="auto"/>
        <w:bottom w:val="none" w:sz="0" w:space="0" w:color="auto"/>
        <w:right w:val="none" w:sz="0" w:space="0" w:color="auto"/>
      </w:divBdr>
    </w:div>
    <w:div w:id="957638802">
      <w:marLeft w:val="0"/>
      <w:marRight w:val="0"/>
      <w:marTop w:val="0"/>
      <w:marBottom w:val="0"/>
      <w:divBdr>
        <w:top w:val="none" w:sz="0" w:space="0" w:color="auto"/>
        <w:left w:val="none" w:sz="0" w:space="0" w:color="auto"/>
        <w:bottom w:val="none" w:sz="0" w:space="0" w:color="auto"/>
        <w:right w:val="none" w:sz="0" w:space="0" w:color="auto"/>
      </w:divBdr>
    </w:div>
    <w:div w:id="957755848">
      <w:marLeft w:val="0"/>
      <w:marRight w:val="0"/>
      <w:marTop w:val="0"/>
      <w:marBottom w:val="0"/>
      <w:divBdr>
        <w:top w:val="none" w:sz="0" w:space="0" w:color="auto"/>
        <w:left w:val="none" w:sz="0" w:space="0" w:color="auto"/>
        <w:bottom w:val="none" w:sz="0" w:space="0" w:color="auto"/>
        <w:right w:val="none" w:sz="0" w:space="0" w:color="auto"/>
      </w:divBdr>
    </w:div>
    <w:div w:id="961420290">
      <w:marLeft w:val="0"/>
      <w:marRight w:val="0"/>
      <w:marTop w:val="0"/>
      <w:marBottom w:val="0"/>
      <w:divBdr>
        <w:top w:val="none" w:sz="0" w:space="0" w:color="auto"/>
        <w:left w:val="none" w:sz="0" w:space="0" w:color="auto"/>
        <w:bottom w:val="none" w:sz="0" w:space="0" w:color="auto"/>
        <w:right w:val="none" w:sz="0" w:space="0" w:color="auto"/>
      </w:divBdr>
    </w:div>
    <w:div w:id="968169889">
      <w:marLeft w:val="0"/>
      <w:marRight w:val="0"/>
      <w:marTop w:val="0"/>
      <w:marBottom w:val="0"/>
      <w:divBdr>
        <w:top w:val="none" w:sz="0" w:space="0" w:color="auto"/>
        <w:left w:val="none" w:sz="0" w:space="0" w:color="auto"/>
        <w:bottom w:val="none" w:sz="0" w:space="0" w:color="auto"/>
        <w:right w:val="none" w:sz="0" w:space="0" w:color="auto"/>
      </w:divBdr>
    </w:div>
    <w:div w:id="972949017">
      <w:bodyDiv w:val="1"/>
      <w:marLeft w:val="0"/>
      <w:marRight w:val="0"/>
      <w:marTop w:val="0"/>
      <w:marBottom w:val="0"/>
      <w:divBdr>
        <w:top w:val="none" w:sz="0" w:space="0" w:color="auto"/>
        <w:left w:val="none" w:sz="0" w:space="0" w:color="auto"/>
        <w:bottom w:val="none" w:sz="0" w:space="0" w:color="auto"/>
        <w:right w:val="none" w:sz="0" w:space="0" w:color="auto"/>
      </w:divBdr>
    </w:div>
    <w:div w:id="1011226965">
      <w:marLeft w:val="0"/>
      <w:marRight w:val="0"/>
      <w:marTop w:val="0"/>
      <w:marBottom w:val="0"/>
      <w:divBdr>
        <w:top w:val="none" w:sz="0" w:space="0" w:color="auto"/>
        <w:left w:val="none" w:sz="0" w:space="0" w:color="auto"/>
        <w:bottom w:val="none" w:sz="0" w:space="0" w:color="auto"/>
        <w:right w:val="none" w:sz="0" w:space="0" w:color="auto"/>
      </w:divBdr>
    </w:div>
    <w:div w:id="1024021212">
      <w:marLeft w:val="0"/>
      <w:marRight w:val="0"/>
      <w:marTop w:val="0"/>
      <w:marBottom w:val="0"/>
      <w:divBdr>
        <w:top w:val="none" w:sz="0" w:space="0" w:color="auto"/>
        <w:left w:val="none" w:sz="0" w:space="0" w:color="auto"/>
        <w:bottom w:val="none" w:sz="0" w:space="0" w:color="auto"/>
        <w:right w:val="none" w:sz="0" w:space="0" w:color="auto"/>
      </w:divBdr>
    </w:div>
    <w:div w:id="1034579249">
      <w:marLeft w:val="0"/>
      <w:marRight w:val="0"/>
      <w:marTop w:val="0"/>
      <w:marBottom w:val="0"/>
      <w:divBdr>
        <w:top w:val="none" w:sz="0" w:space="0" w:color="auto"/>
        <w:left w:val="none" w:sz="0" w:space="0" w:color="auto"/>
        <w:bottom w:val="none" w:sz="0" w:space="0" w:color="auto"/>
        <w:right w:val="none" w:sz="0" w:space="0" w:color="auto"/>
      </w:divBdr>
    </w:div>
    <w:div w:id="1037851694">
      <w:marLeft w:val="0"/>
      <w:marRight w:val="0"/>
      <w:marTop w:val="0"/>
      <w:marBottom w:val="0"/>
      <w:divBdr>
        <w:top w:val="none" w:sz="0" w:space="0" w:color="auto"/>
        <w:left w:val="none" w:sz="0" w:space="0" w:color="auto"/>
        <w:bottom w:val="none" w:sz="0" w:space="0" w:color="auto"/>
        <w:right w:val="none" w:sz="0" w:space="0" w:color="auto"/>
      </w:divBdr>
    </w:div>
    <w:div w:id="1038622503">
      <w:bodyDiv w:val="1"/>
      <w:marLeft w:val="0"/>
      <w:marRight w:val="0"/>
      <w:marTop w:val="0"/>
      <w:marBottom w:val="0"/>
      <w:divBdr>
        <w:top w:val="none" w:sz="0" w:space="0" w:color="auto"/>
        <w:left w:val="none" w:sz="0" w:space="0" w:color="auto"/>
        <w:bottom w:val="none" w:sz="0" w:space="0" w:color="auto"/>
        <w:right w:val="none" w:sz="0" w:space="0" w:color="auto"/>
      </w:divBdr>
      <w:divsChild>
        <w:div w:id="1172257784">
          <w:marLeft w:val="0"/>
          <w:marRight w:val="0"/>
          <w:marTop w:val="0"/>
          <w:marBottom w:val="0"/>
          <w:divBdr>
            <w:top w:val="none" w:sz="0" w:space="0" w:color="auto"/>
            <w:left w:val="none" w:sz="0" w:space="0" w:color="auto"/>
            <w:bottom w:val="none" w:sz="0" w:space="0" w:color="auto"/>
            <w:right w:val="none" w:sz="0" w:space="0" w:color="auto"/>
          </w:divBdr>
          <w:divsChild>
            <w:div w:id="456729057">
              <w:marLeft w:val="0"/>
              <w:marRight w:val="0"/>
              <w:marTop w:val="0"/>
              <w:marBottom w:val="0"/>
              <w:divBdr>
                <w:top w:val="none" w:sz="0" w:space="0" w:color="auto"/>
                <w:left w:val="none" w:sz="0" w:space="0" w:color="auto"/>
                <w:bottom w:val="none" w:sz="0" w:space="0" w:color="auto"/>
                <w:right w:val="none" w:sz="0" w:space="0" w:color="auto"/>
              </w:divBdr>
              <w:divsChild>
                <w:div w:id="529031489">
                  <w:marLeft w:val="0"/>
                  <w:marRight w:val="0"/>
                  <w:marTop w:val="0"/>
                  <w:marBottom w:val="0"/>
                  <w:divBdr>
                    <w:top w:val="none" w:sz="0" w:space="0" w:color="auto"/>
                    <w:left w:val="none" w:sz="0" w:space="0" w:color="auto"/>
                    <w:bottom w:val="none" w:sz="0" w:space="0" w:color="auto"/>
                    <w:right w:val="none" w:sz="0" w:space="0" w:color="auto"/>
                  </w:divBdr>
                  <w:divsChild>
                    <w:div w:id="2002928358">
                      <w:marLeft w:val="0"/>
                      <w:marRight w:val="0"/>
                      <w:marTop w:val="0"/>
                      <w:marBottom w:val="0"/>
                      <w:divBdr>
                        <w:top w:val="none" w:sz="0" w:space="0" w:color="auto"/>
                        <w:left w:val="none" w:sz="0" w:space="0" w:color="auto"/>
                        <w:bottom w:val="none" w:sz="0" w:space="0" w:color="auto"/>
                        <w:right w:val="none" w:sz="0" w:space="0" w:color="auto"/>
                      </w:divBdr>
                      <w:divsChild>
                        <w:div w:id="1910143581">
                          <w:marLeft w:val="0"/>
                          <w:marRight w:val="0"/>
                          <w:marTop w:val="0"/>
                          <w:marBottom w:val="0"/>
                          <w:divBdr>
                            <w:top w:val="none" w:sz="0" w:space="0" w:color="auto"/>
                            <w:left w:val="none" w:sz="0" w:space="0" w:color="auto"/>
                            <w:bottom w:val="none" w:sz="0" w:space="0" w:color="auto"/>
                            <w:right w:val="none" w:sz="0" w:space="0" w:color="auto"/>
                          </w:divBdr>
                          <w:divsChild>
                            <w:div w:id="529727708">
                              <w:marLeft w:val="0"/>
                              <w:marRight w:val="0"/>
                              <w:marTop w:val="0"/>
                              <w:marBottom w:val="0"/>
                              <w:divBdr>
                                <w:top w:val="none" w:sz="0" w:space="0" w:color="auto"/>
                                <w:left w:val="none" w:sz="0" w:space="0" w:color="auto"/>
                                <w:bottom w:val="none" w:sz="0" w:space="0" w:color="auto"/>
                                <w:right w:val="none" w:sz="0" w:space="0" w:color="auto"/>
                              </w:divBdr>
                              <w:divsChild>
                                <w:div w:id="73682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2364381">
      <w:marLeft w:val="0"/>
      <w:marRight w:val="0"/>
      <w:marTop w:val="0"/>
      <w:marBottom w:val="0"/>
      <w:divBdr>
        <w:top w:val="none" w:sz="0" w:space="0" w:color="auto"/>
        <w:left w:val="none" w:sz="0" w:space="0" w:color="auto"/>
        <w:bottom w:val="none" w:sz="0" w:space="0" w:color="auto"/>
        <w:right w:val="none" w:sz="0" w:space="0" w:color="auto"/>
      </w:divBdr>
    </w:div>
    <w:div w:id="1046685210">
      <w:marLeft w:val="0"/>
      <w:marRight w:val="0"/>
      <w:marTop w:val="0"/>
      <w:marBottom w:val="0"/>
      <w:divBdr>
        <w:top w:val="none" w:sz="0" w:space="0" w:color="auto"/>
        <w:left w:val="none" w:sz="0" w:space="0" w:color="auto"/>
        <w:bottom w:val="none" w:sz="0" w:space="0" w:color="auto"/>
        <w:right w:val="none" w:sz="0" w:space="0" w:color="auto"/>
      </w:divBdr>
    </w:div>
    <w:div w:id="1050689518">
      <w:marLeft w:val="0"/>
      <w:marRight w:val="0"/>
      <w:marTop w:val="0"/>
      <w:marBottom w:val="0"/>
      <w:divBdr>
        <w:top w:val="none" w:sz="0" w:space="0" w:color="auto"/>
        <w:left w:val="none" w:sz="0" w:space="0" w:color="auto"/>
        <w:bottom w:val="none" w:sz="0" w:space="0" w:color="auto"/>
        <w:right w:val="none" w:sz="0" w:space="0" w:color="auto"/>
      </w:divBdr>
    </w:div>
    <w:div w:id="1053431424">
      <w:bodyDiv w:val="1"/>
      <w:marLeft w:val="0"/>
      <w:marRight w:val="0"/>
      <w:marTop w:val="0"/>
      <w:marBottom w:val="0"/>
      <w:divBdr>
        <w:top w:val="none" w:sz="0" w:space="0" w:color="auto"/>
        <w:left w:val="none" w:sz="0" w:space="0" w:color="auto"/>
        <w:bottom w:val="none" w:sz="0" w:space="0" w:color="auto"/>
        <w:right w:val="none" w:sz="0" w:space="0" w:color="auto"/>
      </w:divBdr>
    </w:div>
    <w:div w:id="1054619575">
      <w:marLeft w:val="0"/>
      <w:marRight w:val="0"/>
      <w:marTop w:val="0"/>
      <w:marBottom w:val="0"/>
      <w:divBdr>
        <w:top w:val="none" w:sz="0" w:space="0" w:color="auto"/>
        <w:left w:val="none" w:sz="0" w:space="0" w:color="auto"/>
        <w:bottom w:val="none" w:sz="0" w:space="0" w:color="auto"/>
        <w:right w:val="none" w:sz="0" w:space="0" w:color="auto"/>
      </w:divBdr>
    </w:div>
    <w:div w:id="1055468003">
      <w:bodyDiv w:val="1"/>
      <w:marLeft w:val="0"/>
      <w:marRight w:val="0"/>
      <w:marTop w:val="0"/>
      <w:marBottom w:val="0"/>
      <w:divBdr>
        <w:top w:val="none" w:sz="0" w:space="0" w:color="auto"/>
        <w:left w:val="none" w:sz="0" w:space="0" w:color="auto"/>
        <w:bottom w:val="none" w:sz="0" w:space="0" w:color="auto"/>
        <w:right w:val="none" w:sz="0" w:space="0" w:color="auto"/>
      </w:divBdr>
      <w:divsChild>
        <w:div w:id="270863809">
          <w:marLeft w:val="0"/>
          <w:marRight w:val="0"/>
          <w:marTop w:val="0"/>
          <w:marBottom w:val="0"/>
          <w:divBdr>
            <w:top w:val="none" w:sz="0" w:space="0" w:color="auto"/>
            <w:left w:val="none" w:sz="0" w:space="0" w:color="auto"/>
            <w:bottom w:val="none" w:sz="0" w:space="0" w:color="auto"/>
            <w:right w:val="none" w:sz="0" w:space="0" w:color="auto"/>
          </w:divBdr>
          <w:divsChild>
            <w:div w:id="121962733">
              <w:marLeft w:val="0"/>
              <w:marRight w:val="0"/>
              <w:marTop w:val="0"/>
              <w:marBottom w:val="0"/>
              <w:divBdr>
                <w:top w:val="none" w:sz="0" w:space="0" w:color="auto"/>
                <w:left w:val="none" w:sz="0" w:space="0" w:color="auto"/>
                <w:bottom w:val="none" w:sz="0" w:space="0" w:color="auto"/>
                <w:right w:val="none" w:sz="0" w:space="0" w:color="auto"/>
              </w:divBdr>
            </w:div>
            <w:div w:id="126399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094022">
      <w:marLeft w:val="0"/>
      <w:marRight w:val="0"/>
      <w:marTop w:val="0"/>
      <w:marBottom w:val="0"/>
      <w:divBdr>
        <w:top w:val="none" w:sz="0" w:space="0" w:color="auto"/>
        <w:left w:val="none" w:sz="0" w:space="0" w:color="auto"/>
        <w:bottom w:val="none" w:sz="0" w:space="0" w:color="auto"/>
        <w:right w:val="none" w:sz="0" w:space="0" w:color="auto"/>
      </w:divBdr>
      <w:divsChild>
        <w:div w:id="446509109">
          <w:marLeft w:val="0"/>
          <w:marRight w:val="0"/>
          <w:marTop w:val="0"/>
          <w:marBottom w:val="0"/>
          <w:divBdr>
            <w:top w:val="none" w:sz="0" w:space="0" w:color="auto"/>
            <w:left w:val="none" w:sz="0" w:space="0" w:color="auto"/>
            <w:bottom w:val="none" w:sz="0" w:space="0" w:color="auto"/>
            <w:right w:val="none" w:sz="0" w:space="0" w:color="auto"/>
          </w:divBdr>
        </w:div>
      </w:divsChild>
    </w:div>
    <w:div w:id="1058748083">
      <w:marLeft w:val="0"/>
      <w:marRight w:val="0"/>
      <w:marTop w:val="0"/>
      <w:marBottom w:val="0"/>
      <w:divBdr>
        <w:top w:val="none" w:sz="0" w:space="0" w:color="auto"/>
        <w:left w:val="none" w:sz="0" w:space="0" w:color="auto"/>
        <w:bottom w:val="none" w:sz="0" w:space="0" w:color="auto"/>
        <w:right w:val="none" w:sz="0" w:space="0" w:color="auto"/>
      </w:divBdr>
    </w:div>
    <w:div w:id="1064569575">
      <w:marLeft w:val="0"/>
      <w:marRight w:val="0"/>
      <w:marTop w:val="0"/>
      <w:marBottom w:val="0"/>
      <w:divBdr>
        <w:top w:val="none" w:sz="0" w:space="0" w:color="auto"/>
        <w:left w:val="none" w:sz="0" w:space="0" w:color="auto"/>
        <w:bottom w:val="none" w:sz="0" w:space="0" w:color="auto"/>
        <w:right w:val="none" w:sz="0" w:space="0" w:color="auto"/>
      </w:divBdr>
    </w:div>
    <w:div w:id="1073508383">
      <w:marLeft w:val="0"/>
      <w:marRight w:val="0"/>
      <w:marTop w:val="0"/>
      <w:marBottom w:val="0"/>
      <w:divBdr>
        <w:top w:val="none" w:sz="0" w:space="0" w:color="auto"/>
        <w:left w:val="none" w:sz="0" w:space="0" w:color="auto"/>
        <w:bottom w:val="none" w:sz="0" w:space="0" w:color="auto"/>
        <w:right w:val="none" w:sz="0" w:space="0" w:color="auto"/>
      </w:divBdr>
    </w:div>
    <w:div w:id="1079864907">
      <w:marLeft w:val="0"/>
      <w:marRight w:val="0"/>
      <w:marTop w:val="0"/>
      <w:marBottom w:val="0"/>
      <w:divBdr>
        <w:top w:val="none" w:sz="0" w:space="0" w:color="auto"/>
        <w:left w:val="none" w:sz="0" w:space="0" w:color="auto"/>
        <w:bottom w:val="none" w:sz="0" w:space="0" w:color="auto"/>
        <w:right w:val="none" w:sz="0" w:space="0" w:color="auto"/>
      </w:divBdr>
    </w:div>
    <w:div w:id="1081483997">
      <w:marLeft w:val="0"/>
      <w:marRight w:val="0"/>
      <w:marTop w:val="0"/>
      <w:marBottom w:val="0"/>
      <w:divBdr>
        <w:top w:val="none" w:sz="0" w:space="0" w:color="auto"/>
        <w:left w:val="none" w:sz="0" w:space="0" w:color="auto"/>
        <w:bottom w:val="none" w:sz="0" w:space="0" w:color="auto"/>
        <w:right w:val="none" w:sz="0" w:space="0" w:color="auto"/>
      </w:divBdr>
    </w:div>
    <w:div w:id="1117483152">
      <w:marLeft w:val="0"/>
      <w:marRight w:val="0"/>
      <w:marTop w:val="0"/>
      <w:marBottom w:val="0"/>
      <w:divBdr>
        <w:top w:val="none" w:sz="0" w:space="0" w:color="auto"/>
        <w:left w:val="none" w:sz="0" w:space="0" w:color="auto"/>
        <w:bottom w:val="none" w:sz="0" w:space="0" w:color="auto"/>
        <w:right w:val="none" w:sz="0" w:space="0" w:color="auto"/>
      </w:divBdr>
    </w:div>
    <w:div w:id="1121804968">
      <w:bodyDiv w:val="1"/>
      <w:marLeft w:val="0"/>
      <w:marRight w:val="0"/>
      <w:marTop w:val="0"/>
      <w:marBottom w:val="0"/>
      <w:divBdr>
        <w:top w:val="none" w:sz="0" w:space="0" w:color="auto"/>
        <w:left w:val="none" w:sz="0" w:space="0" w:color="auto"/>
        <w:bottom w:val="none" w:sz="0" w:space="0" w:color="auto"/>
        <w:right w:val="none" w:sz="0" w:space="0" w:color="auto"/>
      </w:divBdr>
    </w:div>
    <w:div w:id="1133208784">
      <w:bodyDiv w:val="1"/>
      <w:marLeft w:val="0"/>
      <w:marRight w:val="0"/>
      <w:marTop w:val="0"/>
      <w:marBottom w:val="0"/>
      <w:divBdr>
        <w:top w:val="none" w:sz="0" w:space="0" w:color="auto"/>
        <w:left w:val="none" w:sz="0" w:space="0" w:color="auto"/>
        <w:bottom w:val="none" w:sz="0" w:space="0" w:color="auto"/>
        <w:right w:val="none" w:sz="0" w:space="0" w:color="auto"/>
      </w:divBdr>
      <w:divsChild>
        <w:div w:id="249966142">
          <w:marLeft w:val="1166"/>
          <w:marRight w:val="0"/>
          <w:marTop w:val="115"/>
          <w:marBottom w:val="0"/>
          <w:divBdr>
            <w:top w:val="none" w:sz="0" w:space="0" w:color="auto"/>
            <w:left w:val="none" w:sz="0" w:space="0" w:color="auto"/>
            <w:bottom w:val="none" w:sz="0" w:space="0" w:color="auto"/>
            <w:right w:val="none" w:sz="0" w:space="0" w:color="auto"/>
          </w:divBdr>
        </w:div>
        <w:div w:id="562840116">
          <w:marLeft w:val="1166"/>
          <w:marRight w:val="0"/>
          <w:marTop w:val="115"/>
          <w:marBottom w:val="0"/>
          <w:divBdr>
            <w:top w:val="none" w:sz="0" w:space="0" w:color="auto"/>
            <w:left w:val="none" w:sz="0" w:space="0" w:color="auto"/>
            <w:bottom w:val="none" w:sz="0" w:space="0" w:color="auto"/>
            <w:right w:val="none" w:sz="0" w:space="0" w:color="auto"/>
          </w:divBdr>
        </w:div>
        <w:div w:id="919220412">
          <w:marLeft w:val="547"/>
          <w:marRight w:val="0"/>
          <w:marTop w:val="115"/>
          <w:marBottom w:val="0"/>
          <w:divBdr>
            <w:top w:val="none" w:sz="0" w:space="0" w:color="auto"/>
            <w:left w:val="none" w:sz="0" w:space="0" w:color="auto"/>
            <w:bottom w:val="none" w:sz="0" w:space="0" w:color="auto"/>
            <w:right w:val="none" w:sz="0" w:space="0" w:color="auto"/>
          </w:divBdr>
        </w:div>
        <w:div w:id="1124428117">
          <w:marLeft w:val="1166"/>
          <w:marRight w:val="0"/>
          <w:marTop w:val="115"/>
          <w:marBottom w:val="0"/>
          <w:divBdr>
            <w:top w:val="none" w:sz="0" w:space="0" w:color="auto"/>
            <w:left w:val="none" w:sz="0" w:space="0" w:color="auto"/>
            <w:bottom w:val="none" w:sz="0" w:space="0" w:color="auto"/>
            <w:right w:val="none" w:sz="0" w:space="0" w:color="auto"/>
          </w:divBdr>
        </w:div>
        <w:div w:id="1328555396">
          <w:marLeft w:val="1166"/>
          <w:marRight w:val="0"/>
          <w:marTop w:val="115"/>
          <w:marBottom w:val="0"/>
          <w:divBdr>
            <w:top w:val="none" w:sz="0" w:space="0" w:color="auto"/>
            <w:left w:val="none" w:sz="0" w:space="0" w:color="auto"/>
            <w:bottom w:val="none" w:sz="0" w:space="0" w:color="auto"/>
            <w:right w:val="none" w:sz="0" w:space="0" w:color="auto"/>
          </w:divBdr>
        </w:div>
      </w:divsChild>
    </w:div>
    <w:div w:id="1154682233">
      <w:bodyDiv w:val="1"/>
      <w:marLeft w:val="0"/>
      <w:marRight w:val="0"/>
      <w:marTop w:val="0"/>
      <w:marBottom w:val="0"/>
      <w:divBdr>
        <w:top w:val="none" w:sz="0" w:space="0" w:color="auto"/>
        <w:left w:val="none" w:sz="0" w:space="0" w:color="auto"/>
        <w:bottom w:val="none" w:sz="0" w:space="0" w:color="auto"/>
        <w:right w:val="none" w:sz="0" w:space="0" w:color="auto"/>
      </w:divBdr>
    </w:div>
    <w:div w:id="1158300997">
      <w:marLeft w:val="0"/>
      <w:marRight w:val="0"/>
      <w:marTop w:val="0"/>
      <w:marBottom w:val="0"/>
      <w:divBdr>
        <w:top w:val="none" w:sz="0" w:space="0" w:color="auto"/>
        <w:left w:val="none" w:sz="0" w:space="0" w:color="auto"/>
        <w:bottom w:val="none" w:sz="0" w:space="0" w:color="auto"/>
        <w:right w:val="none" w:sz="0" w:space="0" w:color="auto"/>
      </w:divBdr>
    </w:div>
    <w:div w:id="1168207166">
      <w:marLeft w:val="0"/>
      <w:marRight w:val="0"/>
      <w:marTop w:val="0"/>
      <w:marBottom w:val="0"/>
      <w:divBdr>
        <w:top w:val="none" w:sz="0" w:space="0" w:color="auto"/>
        <w:left w:val="none" w:sz="0" w:space="0" w:color="auto"/>
        <w:bottom w:val="none" w:sz="0" w:space="0" w:color="auto"/>
        <w:right w:val="none" w:sz="0" w:space="0" w:color="auto"/>
      </w:divBdr>
    </w:div>
    <w:div w:id="1170559049">
      <w:marLeft w:val="0"/>
      <w:marRight w:val="0"/>
      <w:marTop w:val="0"/>
      <w:marBottom w:val="0"/>
      <w:divBdr>
        <w:top w:val="none" w:sz="0" w:space="0" w:color="auto"/>
        <w:left w:val="none" w:sz="0" w:space="0" w:color="auto"/>
        <w:bottom w:val="none" w:sz="0" w:space="0" w:color="auto"/>
        <w:right w:val="none" w:sz="0" w:space="0" w:color="auto"/>
      </w:divBdr>
    </w:div>
    <w:div w:id="1180394795">
      <w:marLeft w:val="0"/>
      <w:marRight w:val="0"/>
      <w:marTop w:val="0"/>
      <w:marBottom w:val="0"/>
      <w:divBdr>
        <w:top w:val="none" w:sz="0" w:space="0" w:color="auto"/>
        <w:left w:val="none" w:sz="0" w:space="0" w:color="auto"/>
        <w:bottom w:val="none" w:sz="0" w:space="0" w:color="auto"/>
        <w:right w:val="none" w:sz="0" w:space="0" w:color="auto"/>
      </w:divBdr>
    </w:div>
    <w:div w:id="1185174775">
      <w:marLeft w:val="0"/>
      <w:marRight w:val="0"/>
      <w:marTop w:val="0"/>
      <w:marBottom w:val="0"/>
      <w:divBdr>
        <w:top w:val="none" w:sz="0" w:space="0" w:color="auto"/>
        <w:left w:val="none" w:sz="0" w:space="0" w:color="auto"/>
        <w:bottom w:val="none" w:sz="0" w:space="0" w:color="auto"/>
        <w:right w:val="none" w:sz="0" w:space="0" w:color="auto"/>
      </w:divBdr>
    </w:div>
    <w:div w:id="1185286500">
      <w:bodyDiv w:val="1"/>
      <w:marLeft w:val="0"/>
      <w:marRight w:val="0"/>
      <w:marTop w:val="0"/>
      <w:marBottom w:val="0"/>
      <w:divBdr>
        <w:top w:val="none" w:sz="0" w:space="0" w:color="auto"/>
        <w:left w:val="none" w:sz="0" w:space="0" w:color="auto"/>
        <w:bottom w:val="none" w:sz="0" w:space="0" w:color="auto"/>
        <w:right w:val="none" w:sz="0" w:space="0" w:color="auto"/>
      </w:divBdr>
      <w:divsChild>
        <w:div w:id="1265335520">
          <w:marLeft w:val="0"/>
          <w:marRight w:val="0"/>
          <w:marTop w:val="0"/>
          <w:marBottom w:val="0"/>
          <w:divBdr>
            <w:top w:val="none" w:sz="0" w:space="0" w:color="auto"/>
            <w:left w:val="none" w:sz="0" w:space="0" w:color="auto"/>
            <w:bottom w:val="none" w:sz="0" w:space="0" w:color="auto"/>
            <w:right w:val="none" w:sz="0" w:space="0" w:color="auto"/>
          </w:divBdr>
          <w:divsChild>
            <w:div w:id="1946883963">
              <w:marLeft w:val="0"/>
              <w:marRight w:val="0"/>
              <w:marTop w:val="0"/>
              <w:marBottom w:val="0"/>
              <w:divBdr>
                <w:top w:val="none" w:sz="0" w:space="0" w:color="auto"/>
                <w:left w:val="none" w:sz="0" w:space="0" w:color="auto"/>
                <w:bottom w:val="none" w:sz="0" w:space="0" w:color="auto"/>
                <w:right w:val="none" w:sz="0" w:space="0" w:color="auto"/>
              </w:divBdr>
              <w:divsChild>
                <w:div w:id="1629385752">
                  <w:marLeft w:val="0"/>
                  <w:marRight w:val="0"/>
                  <w:marTop w:val="0"/>
                  <w:marBottom w:val="0"/>
                  <w:divBdr>
                    <w:top w:val="none" w:sz="0" w:space="0" w:color="auto"/>
                    <w:left w:val="none" w:sz="0" w:space="0" w:color="auto"/>
                    <w:bottom w:val="none" w:sz="0" w:space="0" w:color="auto"/>
                    <w:right w:val="none" w:sz="0" w:space="0" w:color="auto"/>
                  </w:divBdr>
                  <w:divsChild>
                    <w:div w:id="217597442">
                      <w:marLeft w:val="0"/>
                      <w:marRight w:val="0"/>
                      <w:marTop w:val="0"/>
                      <w:marBottom w:val="0"/>
                      <w:divBdr>
                        <w:top w:val="none" w:sz="0" w:space="0" w:color="auto"/>
                        <w:left w:val="none" w:sz="0" w:space="0" w:color="auto"/>
                        <w:bottom w:val="none" w:sz="0" w:space="0" w:color="auto"/>
                        <w:right w:val="none" w:sz="0" w:space="0" w:color="auto"/>
                      </w:divBdr>
                      <w:divsChild>
                        <w:div w:id="833766805">
                          <w:marLeft w:val="0"/>
                          <w:marRight w:val="0"/>
                          <w:marTop w:val="0"/>
                          <w:marBottom w:val="0"/>
                          <w:divBdr>
                            <w:top w:val="none" w:sz="0" w:space="0" w:color="auto"/>
                            <w:left w:val="none" w:sz="0" w:space="0" w:color="auto"/>
                            <w:bottom w:val="none" w:sz="0" w:space="0" w:color="auto"/>
                            <w:right w:val="none" w:sz="0" w:space="0" w:color="auto"/>
                          </w:divBdr>
                          <w:divsChild>
                            <w:div w:id="1631399457">
                              <w:marLeft w:val="0"/>
                              <w:marRight w:val="0"/>
                              <w:marTop w:val="0"/>
                              <w:marBottom w:val="0"/>
                              <w:divBdr>
                                <w:top w:val="none" w:sz="0" w:space="0" w:color="auto"/>
                                <w:left w:val="none" w:sz="0" w:space="0" w:color="auto"/>
                                <w:bottom w:val="none" w:sz="0" w:space="0" w:color="auto"/>
                                <w:right w:val="none" w:sz="0" w:space="0" w:color="auto"/>
                              </w:divBdr>
                              <w:divsChild>
                                <w:div w:id="144423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428956">
      <w:marLeft w:val="0"/>
      <w:marRight w:val="0"/>
      <w:marTop w:val="0"/>
      <w:marBottom w:val="0"/>
      <w:divBdr>
        <w:top w:val="none" w:sz="0" w:space="0" w:color="auto"/>
        <w:left w:val="none" w:sz="0" w:space="0" w:color="auto"/>
        <w:bottom w:val="none" w:sz="0" w:space="0" w:color="auto"/>
        <w:right w:val="none" w:sz="0" w:space="0" w:color="auto"/>
      </w:divBdr>
    </w:div>
    <w:div w:id="1198591549">
      <w:marLeft w:val="0"/>
      <w:marRight w:val="0"/>
      <w:marTop w:val="0"/>
      <w:marBottom w:val="0"/>
      <w:divBdr>
        <w:top w:val="none" w:sz="0" w:space="0" w:color="auto"/>
        <w:left w:val="none" w:sz="0" w:space="0" w:color="auto"/>
        <w:bottom w:val="none" w:sz="0" w:space="0" w:color="auto"/>
        <w:right w:val="none" w:sz="0" w:space="0" w:color="auto"/>
      </w:divBdr>
    </w:div>
    <w:div w:id="1204631277">
      <w:marLeft w:val="0"/>
      <w:marRight w:val="0"/>
      <w:marTop w:val="0"/>
      <w:marBottom w:val="0"/>
      <w:divBdr>
        <w:top w:val="none" w:sz="0" w:space="0" w:color="auto"/>
        <w:left w:val="none" w:sz="0" w:space="0" w:color="auto"/>
        <w:bottom w:val="none" w:sz="0" w:space="0" w:color="auto"/>
        <w:right w:val="none" w:sz="0" w:space="0" w:color="auto"/>
      </w:divBdr>
    </w:div>
    <w:div w:id="1209606805">
      <w:bodyDiv w:val="1"/>
      <w:marLeft w:val="0"/>
      <w:marRight w:val="0"/>
      <w:marTop w:val="0"/>
      <w:marBottom w:val="0"/>
      <w:divBdr>
        <w:top w:val="none" w:sz="0" w:space="0" w:color="auto"/>
        <w:left w:val="none" w:sz="0" w:space="0" w:color="auto"/>
        <w:bottom w:val="none" w:sz="0" w:space="0" w:color="auto"/>
        <w:right w:val="none" w:sz="0" w:space="0" w:color="auto"/>
      </w:divBdr>
    </w:div>
    <w:div w:id="1210147148">
      <w:marLeft w:val="0"/>
      <w:marRight w:val="0"/>
      <w:marTop w:val="0"/>
      <w:marBottom w:val="0"/>
      <w:divBdr>
        <w:top w:val="none" w:sz="0" w:space="0" w:color="auto"/>
        <w:left w:val="none" w:sz="0" w:space="0" w:color="auto"/>
        <w:bottom w:val="none" w:sz="0" w:space="0" w:color="auto"/>
        <w:right w:val="none" w:sz="0" w:space="0" w:color="auto"/>
      </w:divBdr>
    </w:div>
    <w:div w:id="1217158844">
      <w:bodyDiv w:val="1"/>
      <w:marLeft w:val="0"/>
      <w:marRight w:val="0"/>
      <w:marTop w:val="0"/>
      <w:marBottom w:val="0"/>
      <w:divBdr>
        <w:top w:val="none" w:sz="0" w:space="0" w:color="auto"/>
        <w:left w:val="none" w:sz="0" w:space="0" w:color="auto"/>
        <w:bottom w:val="none" w:sz="0" w:space="0" w:color="auto"/>
        <w:right w:val="none" w:sz="0" w:space="0" w:color="auto"/>
      </w:divBdr>
    </w:div>
    <w:div w:id="1224944397">
      <w:marLeft w:val="0"/>
      <w:marRight w:val="0"/>
      <w:marTop w:val="0"/>
      <w:marBottom w:val="0"/>
      <w:divBdr>
        <w:top w:val="none" w:sz="0" w:space="0" w:color="auto"/>
        <w:left w:val="none" w:sz="0" w:space="0" w:color="auto"/>
        <w:bottom w:val="none" w:sz="0" w:space="0" w:color="auto"/>
        <w:right w:val="none" w:sz="0" w:space="0" w:color="auto"/>
      </w:divBdr>
    </w:div>
    <w:div w:id="1226143581">
      <w:marLeft w:val="0"/>
      <w:marRight w:val="0"/>
      <w:marTop w:val="0"/>
      <w:marBottom w:val="0"/>
      <w:divBdr>
        <w:top w:val="none" w:sz="0" w:space="0" w:color="auto"/>
        <w:left w:val="none" w:sz="0" w:space="0" w:color="auto"/>
        <w:bottom w:val="none" w:sz="0" w:space="0" w:color="auto"/>
        <w:right w:val="none" w:sz="0" w:space="0" w:color="auto"/>
      </w:divBdr>
    </w:div>
    <w:div w:id="1226185969">
      <w:bodyDiv w:val="1"/>
      <w:marLeft w:val="0"/>
      <w:marRight w:val="0"/>
      <w:marTop w:val="0"/>
      <w:marBottom w:val="0"/>
      <w:divBdr>
        <w:top w:val="none" w:sz="0" w:space="0" w:color="auto"/>
        <w:left w:val="none" w:sz="0" w:space="0" w:color="auto"/>
        <w:bottom w:val="none" w:sz="0" w:space="0" w:color="auto"/>
        <w:right w:val="none" w:sz="0" w:space="0" w:color="auto"/>
      </w:divBdr>
      <w:divsChild>
        <w:div w:id="1915385009">
          <w:marLeft w:val="0"/>
          <w:marRight w:val="0"/>
          <w:marTop w:val="0"/>
          <w:marBottom w:val="0"/>
          <w:divBdr>
            <w:top w:val="none" w:sz="0" w:space="0" w:color="auto"/>
            <w:left w:val="none" w:sz="0" w:space="0" w:color="auto"/>
            <w:bottom w:val="none" w:sz="0" w:space="0" w:color="auto"/>
            <w:right w:val="none" w:sz="0" w:space="0" w:color="auto"/>
          </w:divBdr>
        </w:div>
      </w:divsChild>
    </w:div>
    <w:div w:id="1226375899">
      <w:marLeft w:val="0"/>
      <w:marRight w:val="0"/>
      <w:marTop w:val="0"/>
      <w:marBottom w:val="0"/>
      <w:divBdr>
        <w:top w:val="none" w:sz="0" w:space="0" w:color="auto"/>
        <w:left w:val="none" w:sz="0" w:space="0" w:color="auto"/>
        <w:bottom w:val="none" w:sz="0" w:space="0" w:color="auto"/>
        <w:right w:val="none" w:sz="0" w:space="0" w:color="auto"/>
      </w:divBdr>
    </w:div>
    <w:div w:id="1245334763">
      <w:marLeft w:val="0"/>
      <w:marRight w:val="0"/>
      <w:marTop w:val="0"/>
      <w:marBottom w:val="0"/>
      <w:divBdr>
        <w:top w:val="none" w:sz="0" w:space="0" w:color="auto"/>
        <w:left w:val="none" w:sz="0" w:space="0" w:color="auto"/>
        <w:bottom w:val="none" w:sz="0" w:space="0" w:color="auto"/>
        <w:right w:val="none" w:sz="0" w:space="0" w:color="auto"/>
      </w:divBdr>
    </w:div>
    <w:div w:id="1251889312">
      <w:marLeft w:val="0"/>
      <w:marRight w:val="0"/>
      <w:marTop w:val="0"/>
      <w:marBottom w:val="0"/>
      <w:divBdr>
        <w:top w:val="none" w:sz="0" w:space="0" w:color="auto"/>
        <w:left w:val="none" w:sz="0" w:space="0" w:color="auto"/>
        <w:bottom w:val="none" w:sz="0" w:space="0" w:color="auto"/>
        <w:right w:val="none" w:sz="0" w:space="0" w:color="auto"/>
      </w:divBdr>
    </w:div>
    <w:div w:id="1256278847">
      <w:marLeft w:val="0"/>
      <w:marRight w:val="0"/>
      <w:marTop w:val="0"/>
      <w:marBottom w:val="0"/>
      <w:divBdr>
        <w:top w:val="none" w:sz="0" w:space="0" w:color="auto"/>
        <w:left w:val="none" w:sz="0" w:space="0" w:color="auto"/>
        <w:bottom w:val="none" w:sz="0" w:space="0" w:color="auto"/>
        <w:right w:val="none" w:sz="0" w:space="0" w:color="auto"/>
      </w:divBdr>
    </w:div>
    <w:div w:id="1259217635">
      <w:marLeft w:val="0"/>
      <w:marRight w:val="0"/>
      <w:marTop w:val="0"/>
      <w:marBottom w:val="0"/>
      <w:divBdr>
        <w:top w:val="none" w:sz="0" w:space="0" w:color="auto"/>
        <w:left w:val="none" w:sz="0" w:space="0" w:color="auto"/>
        <w:bottom w:val="none" w:sz="0" w:space="0" w:color="auto"/>
        <w:right w:val="none" w:sz="0" w:space="0" w:color="auto"/>
      </w:divBdr>
    </w:div>
    <w:div w:id="1275791809">
      <w:marLeft w:val="0"/>
      <w:marRight w:val="0"/>
      <w:marTop w:val="0"/>
      <w:marBottom w:val="0"/>
      <w:divBdr>
        <w:top w:val="none" w:sz="0" w:space="0" w:color="auto"/>
        <w:left w:val="none" w:sz="0" w:space="0" w:color="auto"/>
        <w:bottom w:val="none" w:sz="0" w:space="0" w:color="auto"/>
        <w:right w:val="none" w:sz="0" w:space="0" w:color="auto"/>
      </w:divBdr>
    </w:div>
    <w:div w:id="1276446826">
      <w:marLeft w:val="0"/>
      <w:marRight w:val="0"/>
      <w:marTop w:val="0"/>
      <w:marBottom w:val="0"/>
      <w:divBdr>
        <w:top w:val="none" w:sz="0" w:space="0" w:color="auto"/>
        <w:left w:val="none" w:sz="0" w:space="0" w:color="auto"/>
        <w:bottom w:val="none" w:sz="0" w:space="0" w:color="auto"/>
        <w:right w:val="none" w:sz="0" w:space="0" w:color="auto"/>
      </w:divBdr>
    </w:div>
    <w:div w:id="1283613919">
      <w:marLeft w:val="0"/>
      <w:marRight w:val="0"/>
      <w:marTop w:val="0"/>
      <w:marBottom w:val="0"/>
      <w:divBdr>
        <w:top w:val="none" w:sz="0" w:space="0" w:color="auto"/>
        <w:left w:val="none" w:sz="0" w:space="0" w:color="auto"/>
        <w:bottom w:val="none" w:sz="0" w:space="0" w:color="auto"/>
        <w:right w:val="none" w:sz="0" w:space="0" w:color="auto"/>
      </w:divBdr>
    </w:div>
    <w:div w:id="1286154284">
      <w:bodyDiv w:val="1"/>
      <w:marLeft w:val="0"/>
      <w:marRight w:val="0"/>
      <w:marTop w:val="0"/>
      <w:marBottom w:val="0"/>
      <w:divBdr>
        <w:top w:val="none" w:sz="0" w:space="0" w:color="auto"/>
        <w:left w:val="none" w:sz="0" w:space="0" w:color="auto"/>
        <w:bottom w:val="none" w:sz="0" w:space="0" w:color="auto"/>
        <w:right w:val="none" w:sz="0" w:space="0" w:color="auto"/>
      </w:divBdr>
    </w:div>
    <w:div w:id="1312641166">
      <w:marLeft w:val="0"/>
      <w:marRight w:val="0"/>
      <w:marTop w:val="0"/>
      <w:marBottom w:val="0"/>
      <w:divBdr>
        <w:top w:val="none" w:sz="0" w:space="0" w:color="auto"/>
        <w:left w:val="none" w:sz="0" w:space="0" w:color="auto"/>
        <w:bottom w:val="none" w:sz="0" w:space="0" w:color="auto"/>
        <w:right w:val="none" w:sz="0" w:space="0" w:color="auto"/>
      </w:divBdr>
    </w:div>
    <w:div w:id="1315989669">
      <w:marLeft w:val="0"/>
      <w:marRight w:val="0"/>
      <w:marTop w:val="0"/>
      <w:marBottom w:val="0"/>
      <w:divBdr>
        <w:top w:val="none" w:sz="0" w:space="0" w:color="auto"/>
        <w:left w:val="none" w:sz="0" w:space="0" w:color="auto"/>
        <w:bottom w:val="none" w:sz="0" w:space="0" w:color="auto"/>
        <w:right w:val="none" w:sz="0" w:space="0" w:color="auto"/>
      </w:divBdr>
    </w:div>
    <w:div w:id="1325281935">
      <w:marLeft w:val="0"/>
      <w:marRight w:val="0"/>
      <w:marTop w:val="0"/>
      <w:marBottom w:val="0"/>
      <w:divBdr>
        <w:top w:val="none" w:sz="0" w:space="0" w:color="auto"/>
        <w:left w:val="none" w:sz="0" w:space="0" w:color="auto"/>
        <w:bottom w:val="none" w:sz="0" w:space="0" w:color="auto"/>
        <w:right w:val="none" w:sz="0" w:space="0" w:color="auto"/>
      </w:divBdr>
    </w:div>
    <w:div w:id="1329403667">
      <w:marLeft w:val="0"/>
      <w:marRight w:val="0"/>
      <w:marTop w:val="0"/>
      <w:marBottom w:val="0"/>
      <w:divBdr>
        <w:top w:val="none" w:sz="0" w:space="0" w:color="auto"/>
        <w:left w:val="none" w:sz="0" w:space="0" w:color="auto"/>
        <w:bottom w:val="none" w:sz="0" w:space="0" w:color="auto"/>
        <w:right w:val="none" w:sz="0" w:space="0" w:color="auto"/>
      </w:divBdr>
    </w:div>
    <w:div w:id="1332568323">
      <w:marLeft w:val="0"/>
      <w:marRight w:val="0"/>
      <w:marTop w:val="0"/>
      <w:marBottom w:val="0"/>
      <w:divBdr>
        <w:top w:val="none" w:sz="0" w:space="0" w:color="auto"/>
        <w:left w:val="none" w:sz="0" w:space="0" w:color="auto"/>
        <w:bottom w:val="none" w:sz="0" w:space="0" w:color="auto"/>
        <w:right w:val="none" w:sz="0" w:space="0" w:color="auto"/>
      </w:divBdr>
    </w:div>
    <w:div w:id="1335498005">
      <w:marLeft w:val="0"/>
      <w:marRight w:val="0"/>
      <w:marTop w:val="0"/>
      <w:marBottom w:val="0"/>
      <w:divBdr>
        <w:top w:val="none" w:sz="0" w:space="0" w:color="auto"/>
        <w:left w:val="none" w:sz="0" w:space="0" w:color="auto"/>
        <w:bottom w:val="none" w:sz="0" w:space="0" w:color="auto"/>
        <w:right w:val="none" w:sz="0" w:space="0" w:color="auto"/>
      </w:divBdr>
    </w:div>
    <w:div w:id="1343358595">
      <w:bodyDiv w:val="1"/>
      <w:marLeft w:val="0"/>
      <w:marRight w:val="0"/>
      <w:marTop w:val="0"/>
      <w:marBottom w:val="0"/>
      <w:divBdr>
        <w:top w:val="none" w:sz="0" w:space="0" w:color="auto"/>
        <w:left w:val="none" w:sz="0" w:space="0" w:color="auto"/>
        <w:bottom w:val="none" w:sz="0" w:space="0" w:color="auto"/>
        <w:right w:val="none" w:sz="0" w:space="0" w:color="auto"/>
      </w:divBdr>
    </w:div>
    <w:div w:id="1346901072">
      <w:marLeft w:val="0"/>
      <w:marRight w:val="0"/>
      <w:marTop w:val="0"/>
      <w:marBottom w:val="0"/>
      <w:divBdr>
        <w:top w:val="none" w:sz="0" w:space="0" w:color="auto"/>
        <w:left w:val="none" w:sz="0" w:space="0" w:color="auto"/>
        <w:bottom w:val="none" w:sz="0" w:space="0" w:color="auto"/>
        <w:right w:val="none" w:sz="0" w:space="0" w:color="auto"/>
      </w:divBdr>
    </w:div>
    <w:div w:id="1357541975">
      <w:marLeft w:val="0"/>
      <w:marRight w:val="0"/>
      <w:marTop w:val="0"/>
      <w:marBottom w:val="0"/>
      <w:divBdr>
        <w:top w:val="none" w:sz="0" w:space="0" w:color="auto"/>
        <w:left w:val="none" w:sz="0" w:space="0" w:color="auto"/>
        <w:bottom w:val="none" w:sz="0" w:space="0" w:color="auto"/>
        <w:right w:val="none" w:sz="0" w:space="0" w:color="auto"/>
      </w:divBdr>
    </w:div>
    <w:div w:id="1365132110">
      <w:marLeft w:val="0"/>
      <w:marRight w:val="0"/>
      <w:marTop w:val="0"/>
      <w:marBottom w:val="0"/>
      <w:divBdr>
        <w:top w:val="none" w:sz="0" w:space="0" w:color="auto"/>
        <w:left w:val="none" w:sz="0" w:space="0" w:color="auto"/>
        <w:bottom w:val="none" w:sz="0" w:space="0" w:color="auto"/>
        <w:right w:val="none" w:sz="0" w:space="0" w:color="auto"/>
      </w:divBdr>
      <w:divsChild>
        <w:div w:id="46078772">
          <w:marLeft w:val="0"/>
          <w:marRight w:val="0"/>
          <w:marTop w:val="0"/>
          <w:marBottom w:val="0"/>
          <w:divBdr>
            <w:top w:val="none" w:sz="0" w:space="0" w:color="auto"/>
            <w:left w:val="none" w:sz="0" w:space="0" w:color="auto"/>
            <w:bottom w:val="none" w:sz="0" w:space="0" w:color="auto"/>
            <w:right w:val="none" w:sz="0" w:space="0" w:color="auto"/>
          </w:divBdr>
        </w:div>
        <w:div w:id="843861316">
          <w:marLeft w:val="0"/>
          <w:marRight w:val="0"/>
          <w:marTop w:val="0"/>
          <w:marBottom w:val="0"/>
          <w:divBdr>
            <w:top w:val="none" w:sz="0" w:space="0" w:color="auto"/>
            <w:left w:val="none" w:sz="0" w:space="0" w:color="auto"/>
            <w:bottom w:val="none" w:sz="0" w:space="0" w:color="auto"/>
            <w:right w:val="none" w:sz="0" w:space="0" w:color="auto"/>
          </w:divBdr>
        </w:div>
        <w:div w:id="914240017">
          <w:marLeft w:val="0"/>
          <w:marRight w:val="0"/>
          <w:marTop w:val="0"/>
          <w:marBottom w:val="0"/>
          <w:divBdr>
            <w:top w:val="none" w:sz="0" w:space="0" w:color="auto"/>
            <w:left w:val="none" w:sz="0" w:space="0" w:color="auto"/>
            <w:bottom w:val="none" w:sz="0" w:space="0" w:color="auto"/>
            <w:right w:val="none" w:sz="0" w:space="0" w:color="auto"/>
          </w:divBdr>
        </w:div>
      </w:divsChild>
    </w:div>
    <w:div w:id="1384869586">
      <w:bodyDiv w:val="1"/>
      <w:marLeft w:val="0"/>
      <w:marRight w:val="0"/>
      <w:marTop w:val="0"/>
      <w:marBottom w:val="0"/>
      <w:divBdr>
        <w:top w:val="none" w:sz="0" w:space="0" w:color="auto"/>
        <w:left w:val="none" w:sz="0" w:space="0" w:color="auto"/>
        <w:bottom w:val="none" w:sz="0" w:space="0" w:color="auto"/>
        <w:right w:val="none" w:sz="0" w:space="0" w:color="auto"/>
      </w:divBdr>
    </w:div>
    <w:div w:id="1397240529">
      <w:marLeft w:val="0"/>
      <w:marRight w:val="0"/>
      <w:marTop w:val="0"/>
      <w:marBottom w:val="0"/>
      <w:divBdr>
        <w:top w:val="none" w:sz="0" w:space="0" w:color="auto"/>
        <w:left w:val="none" w:sz="0" w:space="0" w:color="auto"/>
        <w:bottom w:val="none" w:sz="0" w:space="0" w:color="auto"/>
        <w:right w:val="none" w:sz="0" w:space="0" w:color="auto"/>
      </w:divBdr>
    </w:div>
    <w:div w:id="1405184753">
      <w:bodyDiv w:val="1"/>
      <w:marLeft w:val="0"/>
      <w:marRight w:val="0"/>
      <w:marTop w:val="0"/>
      <w:marBottom w:val="0"/>
      <w:divBdr>
        <w:top w:val="none" w:sz="0" w:space="0" w:color="auto"/>
        <w:left w:val="none" w:sz="0" w:space="0" w:color="auto"/>
        <w:bottom w:val="none" w:sz="0" w:space="0" w:color="auto"/>
        <w:right w:val="none" w:sz="0" w:space="0" w:color="auto"/>
      </w:divBdr>
    </w:div>
    <w:div w:id="1412315846">
      <w:bodyDiv w:val="1"/>
      <w:marLeft w:val="0"/>
      <w:marRight w:val="0"/>
      <w:marTop w:val="0"/>
      <w:marBottom w:val="0"/>
      <w:divBdr>
        <w:top w:val="none" w:sz="0" w:space="0" w:color="auto"/>
        <w:left w:val="none" w:sz="0" w:space="0" w:color="auto"/>
        <w:bottom w:val="none" w:sz="0" w:space="0" w:color="auto"/>
        <w:right w:val="none" w:sz="0" w:space="0" w:color="auto"/>
      </w:divBdr>
    </w:div>
    <w:div w:id="1418675404">
      <w:marLeft w:val="0"/>
      <w:marRight w:val="0"/>
      <w:marTop w:val="0"/>
      <w:marBottom w:val="0"/>
      <w:divBdr>
        <w:top w:val="none" w:sz="0" w:space="0" w:color="auto"/>
        <w:left w:val="none" w:sz="0" w:space="0" w:color="auto"/>
        <w:bottom w:val="none" w:sz="0" w:space="0" w:color="auto"/>
        <w:right w:val="none" w:sz="0" w:space="0" w:color="auto"/>
      </w:divBdr>
    </w:div>
    <w:div w:id="1420787671">
      <w:marLeft w:val="0"/>
      <w:marRight w:val="0"/>
      <w:marTop w:val="0"/>
      <w:marBottom w:val="0"/>
      <w:divBdr>
        <w:top w:val="none" w:sz="0" w:space="0" w:color="auto"/>
        <w:left w:val="none" w:sz="0" w:space="0" w:color="auto"/>
        <w:bottom w:val="none" w:sz="0" w:space="0" w:color="auto"/>
        <w:right w:val="none" w:sz="0" w:space="0" w:color="auto"/>
      </w:divBdr>
    </w:div>
    <w:div w:id="1426540428">
      <w:marLeft w:val="0"/>
      <w:marRight w:val="0"/>
      <w:marTop w:val="0"/>
      <w:marBottom w:val="0"/>
      <w:divBdr>
        <w:top w:val="none" w:sz="0" w:space="0" w:color="auto"/>
        <w:left w:val="none" w:sz="0" w:space="0" w:color="auto"/>
        <w:bottom w:val="none" w:sz="0" w:space="0" w:color="auto"/>
        <w:right w:val="none" w:sz="0" w:space="0" w:color="auto"/>
      </w:divBdr>
    </w:div>
    <w:div w:id="1430927080">
      <w:marLeft w:val="0"/>
      <w:marRight w:val="0"/>
      <w:marTop w:val="0"/>
      <w:marBottom w:val="0"/>
      <w:divBdr>
        <w:top w:val="none" w:sz="0" w:space="0" w:color="auto"/>
        <w:left w:val="none" w:sz="0" w:space="0" w:color="auto"/>
        <w:bottom w:val="none" w:sz="0" w:space="0" w:color="auto"/>
        <w:right w:val="none" w:sz="0" w:space="0" w:color="auto"/>
      </w:divBdr>
    </w:div>
    <w:div w:id="1439910671">
      <w:marLeft w:val="0"/>
      <w:marRight w:val="0"/>
      <w:marTop w:val="0"/>
      <w:marBottom w:val="0"/>
      <w:divBdr>
        <w:top w:val="none" w:sz="0" w:space="0" w:color="auto"/>
        <w:left w:val="none" w:sz="0" w:space="0" w:color="auto"/>
        <w:bottom w:val="none" w:sz="0" w:space="0" w:color="auto"/>
        <w:right w:val="none" w:sz="0" w:space="0" w:color="auto"/>
      </w:divBdr>
    </w:div>
    <w:div w:id="1448234496">
      <w:marLeft w:val="0"/>
      <w:marRight w:val="0"/>
      <w:marTop w:val="0"/>
      <w:marBottom w:val="0"/>
      <w:divBdr>
        <w:top w:val="none" w:sz="0" w:space="0" w:color="auto"/>
        <w:left w:val="none" w:sz="0" w:space="0" w:color="auto"/>
        <w:bottom w:val="none" w:sz="0" w:space="0" w:color="auto"/>
        <w:right w:val="none" w:sz="0" w:space="0" w:color="auto"/>
      </w:divBdr>
    </w:div>
    <w:div w:id="1455710532">
      <w:bodyDiv w:val="1"/>
      <w:marLeft w:val="0"/>
      <w:marRight w:val="0"/>
      <w:marTop w:val="0"/>
      <w:marBottom w:val="0"/>
      <w:divBdr>
        <w:top w:val="none" w:sz="0" w:space="0" w:color="auto"/>
        <w:left w:val="none" w:sz="0" w:space="0" w:color="auto"/>
        <w:bottom w:val="none" w:sz="0" w:space="0" w:color="auto"/>
        <w:right w:val="none" w:sz="0" w:space="0" w:color="auto"/>
      </w:divBdr>
    </w:div>
    <w:div w:id="1463620172">
      <w:marLeft w:val="0"/>
      <w:marRight w:val="0"/>
      <w:marTop w:val="0"/>
      <w:marBottom w:val="0"/>
      <w:divBdr>
        <w:top w:val="none" w:sz="0" w:space="0" w:color="auto"/>
        <w:left w:val="none" w:sz="0" w:space="0" w:color="auto"/>
        <w:bottom w:val="none" w:sz="0" w:space="0" w:color="auto"/>
        <w:right w:val="none" w:sz="0" w:space="0" w:color="auto"/>
      </w:divBdr>
    </w:div>
    <w:div w:id="1475757430">
      <w:marLeft w:val="0"/>
      <w:marRight w:val="0"/>
      <w:marTop w:val="0"/>
      <w:marBottom w:val="0"/>
      <w:divBdr>
        <w:top w:val="none" w:sz="0" w:space="0" w:color="auto"/>
        <w:left w:val="none" w:sz="0" w:space="0" w:color="auto"/>
        <w:bottom w:val="none" w:sz="0" w:space="0" w:color="auto"/>
        <w:right w:val="none" w:sz="0" w:space="0" w:color="auto"/>
      </w:divBdr>
    </w:div>
    <w:div w:id="1480344113">
      <w:bodyDiv w:val="1"/>
      <w:marLeft w:val="0"/>
      <w:marRight w:val="0"/>
      <w:marTop w:val="0"/>
      <w:marBottom w:val="0"/>
      <w:divBdr>
        <w:top w:val="none" w:sz="0" w:space="0" w:color="auto"/>
        <w:left w:val="none" w:sz="0" w:space="0" w:color="auto"/>
        <w:bottom w:val="none" w:sz="0" w:space="0" w:color="auto"/>
        <w:right w:val="none" w:sz="0" w:space="0" w:color="auto"/>
      </w:divBdr>
      <w:divsChild>
        <w:div w:id="1353065490">
          <w:marLeft w:val="0"/>
          <w:marRight w:val="0"/>
          <w:marTop w:val="0"/>
          <w:marBottom w:val="0"/>
          <w:divBdr>
            <w:top w:val="none" w:sz="0" w:space="0" w:color="auto"/>
            <w:left w:val="none" w:sz="0" w:space="0" w:color="auto"/>
            <w:bottom w:val="none" w:sz="0" w:space="0" w:color="auto"/>
            <w:right w:val="none" w:sz="0" w:space="0" w:color="auto"/>
          </w:divBdr>
        </w:div>
      </w:divsChild>
    </w:div>
    <w:div w:id="1483157035">
      <w:marLeft w:val="0"/>
      <w:marRight w:val="0"/>
      <w:marTop w:val="0"/>
      <w:marBottom w:val="0"/>
      <w:divBdr>
        <w:top w:val="none" w:sz="0" w:space="0" w:color="auto"/>
        <w:left w:val="none" w:sz="0" w:space="0" w:color="auto"/>
        <w:bottom w:val="none" w:sz="0" w:space="0" w:color="auto"/>
        <w:right w:val="none" w:sz="0" w:space="0" w:color="auto"/>
      </w:divBdr>
    </w:div>
    <w:div w:id="1485733083">
      <w:marLeft w:val="0"/>
      <w:marRight w:val="0"/>
      <w:marTop w:val="0"/>
      <w:marBottom w:val="0"/>
      <w:divBdr>
        <w:top w:val="none" w:sz="0" w:space="0" w:color="auto"/>
        <w:left w:val="none" w:sz="0" w:space="0" w:color="auto"/>
        <w:bottom w:val="none" w:sz="0" w:space="0" w:color="auto"/>
        <w:right w:val="none" w:sz="0" w:space="0" w:color="auto"/>
      </w:divBdr>
    </w:div>
    <w:div w:id="1488474771">
      <w:marLeft w:val="0"/>
      <w:marRight w:val="0"/>
      <w:marTop w:val="0"/>
      <w:marBottom w:val="0"/>
      <w:divBdr>
        <w:top w:val="none" w:sz="0" w:space="0" w:color="auto"/>
        <w:left w:val="none" w:sz="0" w:space="0" w:color="auto"/>
        <w:bottom w:val="none" w:sz="0" w:space="0" w:color="auto"/>
        <w:right w:val="none" w:sz="0" w:space="0" w:color="auto"/>
      </w:divBdr>
    </w:div>
    <w:div w:id="1505170279">
      <w:marLeft w:val="0"/>
      <w:marRight w:val="0"/>
      <w:marTop w:val="0"/>
      <w:marBottom w:val="0"/>
      <w:divBdr>
        <w:top w:val="none" w:sz="0" w:space="0" w:color="auto"/>
        <w:left w:val="none" w:sz="0" w:space="0" w:color="auto"/>
        <w:bottom w:val="none" w:sz="0" w:space="0" w:color="auto"/>
        <w:right w:val="none" w:sz="0" w:space="0" w:color="auto"/>
      </w:divBdr>
    </w:div>
    <w:div w:id="1506095989">
      <w:marLeft w:val="0"/>
      <w:marRight w:val="0"/>
      <w:marTop w:val="0"/>
      <w:marBottom w:val="0"/>
      <w:divBdr>
        <w:top w:val="none" w:sz="0" w:space="0" w:color="auto"/>
        <w:left w:val="none" w:sz="0" w:space="0" w:color="auto"/>
        <w:bottom w:val="none" w:sz="0" w:space="0" w:color="auto"/>
        <w:right w:val="none" w:sz="0" w:space="0" w:color="auto"/>
      </w:divBdr>
    </w:div>
    <w:div w:id="1514760803">
      <w:marLeft w:val="0"/>
      <w:marRight w:val="0"/>
      <w:marTop w:val="0"/>
      <w:marBottom w:val="0"/>
      <w:divBdr>
        <w:top w:val="none" w:sz="0" w:space="0" w:color="auto"/>
        <w:left w:val="none" w:sz="0" w:space="0" w:color="auto"/>
        <w:bottom w:val="none" w:sz="0" w:space="0" w:color="auto"/>
        <w:right w:val="none" w:sz="0" w:space="0" w:color="auto"/>
      </w:divBdr>
    </w:div>
    <w:div w:id="1523981887">
      <w:marLeft w:val="0"/>
      <w:marRight w:val="0"/>
      <w:marTop w:val="0"/>
      <w:marBottom w:val="0"/>
      <w:divBdr>
        <w:top w:val="none" w:sz="0" w:space="0" w:color="auto"/>
        <w:left w:val="none" w:sz="0" w:space="0" w:color="auto"/>
        <w:bottom w:val="none" w:sz="0" w:space="0" w:color="auto"/>
        <w:right w:val="none" w:sz="0" w:space="0" w:color="auto"/>
      </w:divBdr>
    </w:div>
    <w:div w:id="1524171853">
      <w:marLeft w:val="0"/>
      <w:marRight w:val="0"/>
      <w:marTop w:val="0"/>
      <w:marBottom w:val="0"/>
      <w:divBdr>
        <w:top w:val="none" w:sz="0" w:space="0" w:color="auto"/>
        <w:left w:val="none" w:sz="0" w:space="0" w:color="auto"/>
        <w:bottom w:val="none" w:sz="0" w:space="0" w:color="auto"/>
        <w:right w:val="none" w:sz="0" w:space="0" w:color="auto"/>
      </w:divBdr>
    </w:div>
    <w:div w:id="1524367746">
      <w:marLeft w:val="0"/>
      <w:marRight w:val="0"/>
      <w:marTop w:val="0"/>
      <w:marBottom w:val="0"/>
      <w:divBdr>
        <w:top w:val="none" w:sz="0" w:space="0" w:color="auto"/>
        <w:left w:val="none" w:sz="0" w:space="0" w:color="auto"/>
        <w:bottom w:val="none" w:sz="0" w:space="0" w:color="auto"/>
        <w:right w:val="none" w:sz="0" w:space="0" w:color="auto"/>
      </w:divBdr>
    </w:div>
    <w:div w:id="1525443197">
      <w:marLeft w:val="0"/>
      <w:marRight w:val="0"/>
      <w:marTop w:val="0"/>
      <w:marBottom w:val="0"/>
      <w:divBdr>
        <w:top w:val="none" w:sz="0" w:space="0" w:color="auto"/>
        <w:left w:val="none" w:sz="0" w:space="0" w:color="auto"/>
        <w:bottom w:val="none" w:sz="0" w:space="0" w:color="auto"/>
        <w:right w:val="none" w:sz="0" w:space="0" w:color="auto"/>
      </w:divBdr>
    </w:div>
    <w:div w:id="1530874775">
      <w:marLeft w:val="0"/>
      <w:marRight w:val="0"/>
      <w:marTop w:val="0"/>
      <w:marBottom w:val="0"/>
      <w:divBdr>
        <w:top w:val="none" w:sz="0" w:space="0" w:color="auto"/>
        <w:left w:val="none" w:sz="0" w:space="0" w:color="auto"/>
        <w:bottom w:val="none" w:sz="0" w:space="0" w:color="auto"/>
        <w:right w:val="none" w:sz="0" w:space="0" w:color="auto"/>
      </w:divBdr>
    </w:div>
    <w:div w:id="1544175212">
      <w:marLeft w:val="0"/>
      <w:marRight w:val="0"/>
      <w:marTop w:val="0"/>
      <w:marBottom w:val="0"/>
      <w:divBdr>
        <w:top w:val="none" w:sz="0" w:space="0" w:color="auto"/>
        <w:left w:val="none" w:sz="0" w:space="0" w:color="auto"/>
        <w:bottom w:val="none" w:sz="0" w:space="0" w:color="auto"/>
        <w:right w:val="none" w:sz="0" w:space="0" w:color="auto"/>
      </w:divBdr>
    </w:div>
    <w:div w:id="1553538749">
      <w:marLeft w:val="0"/>
      <w:marRight w:val="0"/>
      <w:marTop w:val="0"/>
      <w:marBottom w:val="0"/>
      <w:divBdr>
        <w:top w:val="none" w:sz="0" w:space="0" w:color="auto"/>
        <w:left w:val="none" w:sz="0" w:space="0" w:color="auto"/>
        <w:bottom w:val="none" w:sz="0" w:space="0" w:color="auto"/>
        <w:right w:val="none" w:sz="0" w:space="0" w:color="auto"/>
      </w:divBdr>
    </w:div>
    <w:div w:id="1583877722">
      <w:bodyDiv w:val="1"/>
      <w:marLeft w:val="0"/>
      <w:marRight w:val="0"/>
      <w:marTop w:val="0"/>
      <w:marBottom w:val="0"/>
      <w:divBdr>
        <w:top w:val="none" w:sz="0" w:space="0" w:color="auto"/>
        <w:left w:val="none" w:sz="0" w:space="0" w:color="auto"/>
        <w:bottom w:val="none" w:sz="0" w:space="0" w:color="auto"/>
        <w:right w:val="none" w:sz="0" w:space="0" w:color="auto"/>
      </w:divBdr>
    </w:div>
    <w:div w:id="1588265007">
      <w:marLeft w:val="0"/>
      <w:marRight w:val="0"/>
      <w:marTop w:val="0"/>
      <w:marBottom w:val="0"/>
      <w:divBdr>
        <w:top w:val="none" w:sz="0" w:space="0" w:color="auto"/>
        <w:left w:val="none" w:sz="0" w:space="0" w:color="auto"/>
        <w:bottom w:val="none" w:sz="0" w:space="0" w:color="auto"/>
        <w:right w:val="none" w:sz="0" w:space="0" w:color="auto"/>
      </w:divBdr>
    </w:div>
    <w:div w:id="1599749573">
      <w:marLeft w:val="0"/>
      <w:marRight w:val="0"/>
      <w:marTop w:val="0"/>
      <w:marBottom w:val="0"/>
      <w:divBdr>
        <w:top w:val="none" w:sz="0" w:space="0" w:color="auto"/>
        <w:left w:val="none" w:sz="0" w:space="0" w:color="auto"/>
        <w:bottom w:val="none" w:sz="0" w:space="0" w:color="auto"/>
        <w:right w:val="none" w:sz="0" w:space="0" w:color="auto"/>
      </w:divBdr>
    </w:div>
    <w:div w:id="1607081467">
      <w:marLeft w:val="0"/>
      <w:marRight w:val="0"/>
      <w:marTop w:val="0"/>
      <w:marBottom w:val="0"/>
      <w:divBdr>
        <w:top w:val="none" w:sz="0" w:space="0" w:color="auto"/>
        <w:left w:val="none" w:sz="0" w:space="0" w:color="auto"/>
        <w:bottom w:val="none" w:sz="0" w:space="0" w:color="auto"/>
        <w:right w:val="none" w:sz="0" w:space="0" w:color="auto"/>
      </w:divBdr>
    </w:div>
    <w:div w:id="1607615081">
      <w:marLeft w:val="0"/>
      <w:marRight w:val="0"/>
      <w:marTop w:val="0"/>
      <w:marBottom w:val="0"/>
      <w:divBdr>
        <w:top w:val="none" w:sz="0" w:space="0" w:color="auto"/>
        <w:left w:val="none" w:sz="0" w:space="0" w:color="auto"/>
        <w:bottom w:val="none" w:sz="0" w:space="0" w:color="auto"/>
        <w:right w:val="none" w:sz="0" w:space="0" w:color="auto"/>
      </w:divBdr>
    </w:div>
    <w:div w:id="1632203975">
      <w:marLeft w:val="0"/>
      <w:marRight w:val="0"/>
      <w:marTop w:val="0"/>
      <w:marBottom w:val="0"/>
      <w:divBdr>
        <w:top w:val="none" w:sz="0" w:space="0" w:color="auto"/>
        <w:left w:val="none" w:sz="0" w:space="0" w:color="auto"/>
        <w:bottom w:val="none" w:sz="0" w:space="0" w:color="auto"/>
        <w:right w:val="none" w:sz="0" w:space="0" w:color="auto"/>
      </w:divBdr>
    </w:div>
    <w:div w:id="1636132646">
      <w:marLeft w:val="0"/>
      <w:marRight w:val="0"/>
      <w:marTop w:val="0"/>
      <w:marBottom w:val="0"/>
      <w:divBdr>
        <w:top w:val="none" w:sz="0" w:space="0" w:color="auto"/>
        <w:left w:val="none" w:sz="0" w:space="0" w:color="auto"/>
        <w:bottom w:val="none" w:sz="0" w:space="0" w:color="auto"/>
        <w:right w:val="none" w:sz="0" w:space="0" w:color="auto"/>
      </w:divBdr>
    </w:div>
    <w:div w:id="1642924374">
      <w:marLeft w:val="0"/>
      <w:marRight w:val="0"/>
      <w:marTop w:val="0"/>
      <w:marBottom w:val="0"/>
      <w:divBdr>
        <w:top w:val="none" w:sz="0" w:space="0" w:color="auto"/>
        <w:left w:val="none" w:sz="0" w:space="0" w:color="auto"/>
        <w:bottom w:val="none" w:sz="0" w:space="0" w:color="auto"/>
        <w:right w:val="none" w:sz="0" w:space="0" w:color="auto"/>
      </w:divBdr>
    </w:div>
    <w:div w:id="1653095664">
      <w:marLeft w:val="0"/>
      <w:marRight w:val="0"/>
      <w:marTop w:val="0"/>
      <w:marBottom w:val="0"/>
      <w:divBdr>
        <w:top w:val="none" w:sz="0" w:space="0" w:color="auto"/>
        <w:left w:val="none" w:sz="0" w:space="0" w:color="auto"/>
        <w:bottom w:val="none" w:sz="0" w:space="0" w:color="auto"/>
        <w:right w:val="none" w:sz="0" w:space="0" w:color="auto"/>
      </w:divBdr>
    </w:div>
    <w:div w:id="1653363891">
      <w:marLeft w:val="0"/>
      <w:marRight w:val="0"/>
      <w:marTop w:val="0"/>
      <w:marBottom w:val="0"/>
      <w:divBdr>
        <w:top w:val="none" w:sz="0" w:space="0" w:color="auto"/>
        <w:left w:val="none" w:sz="0" w:space="0" w:color="auto"/>
        <w:bottom w:val="none" w:sz="0" w:space="0" w:color="auto"/>
        <w:right w:val="none" w:sz="0" w:space="0" w:color="auto"/>
      </w:divBdr>
    </w:div>
    <w:div w:id="1655715781">
      <w:marLeft w:val="0"/>
      <w:marRight w:val="0"/>
      <w:marTop w:val="0"/>
      <w:marBottom w:val="0"/>
      <w:divBdr>
        <w:top w:val="none" w:sz="0" w:space="0" w:color="auto"/>
        <w:left w:val="none" w:sz="0" w:space="0" w:color="auto"/>
        <w:bottom w:val="none" w:sz="0" w:space="0" w:color="auto"/>
        <w:right w:val="none" w:sz="0" w:space="0" w:color="auto"/>
      </w:divBdr>
    </w:div>
    <w:div w:id="1664384483">
      <w:marLeft w:val="0"/>
      <w:marRight w:val="0"/>
      <w:marTop w:val="0"/>
      <w:marBottom w:val="0"/>
      <w:divBdr>
        <w:top w:val="none" w:sz="0" w:space="0" w:color="auto"/>
        <w:left w:val="none" w:sz="0" w:space="0" w:color="auto"/>
        <w:bottom w:val="none" w:sz="0" w:space="0" w:color="auto"/>
        <w:right w:val="none" w:sz="0" w:space="0" w:color="auto"/>
      </w:divBdr>
    </w:div>
    <w:div w:id="1683967200">
      <w:marLeft w:val="0"/>
      <w:marRight w:val="0"/>
      <w:marTop w:val="0"/>
      <w:marBottom w:val="0"/>
      <w:divBdr>
        <w:top w:val="none" w:sz="0" w:space="0" w:color="auto"/>
        <w:left w:val="none" w:sz="0" w:space="0" w:color="auto"/>
        <w:bottom w:val="none" w:sz="0" w:space="0" w:color="auto"/>
        <w:right w:val="none" w:sz="0" w:space="0" w:color="auto"/>
      </w:divBdr>
    </w:div>
    <w:div w:id="1685545683">
      <w:marLeft w:val="0"/>
      <w:marRight w:val="0"/>
      <w:marTop w:val="0"/>
      <w:marBottom w:val="0"/>
      <w:divBdr>
        <w:top w:val="none" w:sz="0" w:space="0" w:color="auto"/>
        <w:left w:val="none" w:sz="0" w:space="0" w:color="auto"/>
        <w:bottom w:val="none" w:sz="0" w:space="0" w:color="auto"/>
        <w:right w:val="none" w:sz="0" w:space="0" w:color="auto"/>
      </w:divBdr>
    </w:div>
    <w:div w:id="1688169515">
      <w:marLeft w:val="0"/>
      <w:marRight w:val="0"/>
      <w:marTop w:val="0"/>
      <w:marBottom w:val="0"/>
      <w:divBdr>
        <w:top w:val="none" w:sz="0" w:space="0" w:color="auto"/>
        <w:left w:val="none" w:sz="0" w:space="0" w:color="auto"/>
        <w:bottom w:val="none" w:sz="0" w:space="0" w:color="auto"/>
        <w:right w:val="none" w:sz="0" w:space="0" w:color="auto"/>
      </w:divBdr>
    </w:div>
    <w:div w:id="1688603658">
      <w:bodyDiv w:val="1"/>
      <w:marLeft w:val="0"/>
      <w:marRight w:val="0"/>
      <w:marTop w:val="0"/>
      <w:marBottom w:val="0"/>
      <w:divBdr>
        <w:top w:val="none" w:sz="0" w:space="0" w:color="auto"/>
        <w:left w:val="none" w:sz="0" w:space="0" w:color="auto"/>
        <w:bottom w:val="none" w:sz="0" w:space="0" w:color="auto"/>
        <w:right w:val="none" w:sz="0" w:space="0" w:color="auto"/>
      </w:divBdr>
    </w:div>
    <w:div w:id="1689062913">
      <w:marLeft w:val="0"/>
      <w:marRight w:val="0"/>
      <w:marTop w:val="0"/>
      <w:marBottom w:val="0"/>
      <w:divBdr>
        <w:top w:val="none" w:sz="0" w:space="0" w:color="auto"/>
        <w:left w:val="none" w:sz="0" w:space="0" w:color="auto"/>
        <w:bottom w:val="none" w:sz="0" w:space="0" w:color="auto"/>
        <w:right w:val="none" w:sz="0" w:space="0" w:color="auto"/>
      </w:divBdr>
    </w:div>
    <w:div w:id="1689866909">
      <w:bodyDiv w:val="1"/>
      <w:marLeft w:val="0"/>
      <w:marRight w:val="0"/>
      <w:marTop w:val="0"/>
      <w:marBottom w:val="0"/>
      <w:divBdr>
        <w:top w:val="none" w:sz="0" w:space="0" w:color="auto"/>
        <w:left w:val="none" w:sz="0" w:space="0" w:color="auto"/>
        <w:bottom w:val="none" w:sz="0" w:space="0" w:color="auto"/>
        <w:right w:val="none" w:sz="0" w:space="0" w:color="auto"/>
      </w:divBdr>
    </w:div>
    <w:div w:id="1693070599">
      <w:marLeft w:val="0"/>
      <w:marRight w:val="0"/>
      <w:marTop w:val="0"/>
      <w:marBottom w:val="0"/>
      <w:divBdr>
        <w:top w:val="none" w:sz="0" w:space="0" w:color="auto"/>
        <w:left w:val="none" w:sz="0" w:space="0" w:color="auto"/>
        <w:bottom w:val="none" w:sz="0" w:space="0" w:color="auto"/>
        <w:right w:val="none" w:sz="0" w:space="0" w:color="auto"/>
      </w:divBdr>
    </w:div>
    <w:div w:id="1704793601">
      <w:marLeft w:val="0"/>
      <w:marRight w:val="0"/>
      <w:marTop w:val="0"/>
      <w:marBottom w:val="0"/>
      <w:divBdr>
        <w:top w:val="none" w:sz="0" w:space="0" w:color="auto"/>
        <w:left w:val="none" w:sz="0" w:space="0" w:color="auto"/>
        <w:bottom w:val="none" w:sz="0" w:space="0" w:color="auto"/>
        <w:right w:val="none" w:sz="0" w:space="0" w:color="auto"/>
      </w:divBdr>
    </w:div>
    <w:div w:id="1711879233">
      <w:marLeft w:val="0"/>
      <w:marRight w:val="0"/>
      <w:marTop w:val="0"/>
      <w:marBottom w:val="0"/>
      <w:divBdr>
        <w:top w:val="none" w:sz="0" w:space="0" w:color="auto"/>
        <w:left w:val="none" w:sz="0" w:space="0" w:color="auto"/>
        <w:bottom w:val="none" w:sz="0" w:space="0" w:color="auto"/>
        <w:right w:val="none" w:sz="0" w:space="0" w:color="auto"/>
      </w:divBdr>
    </w:div>
    <w:div w:id="1714845997">
      <w:bodyDiv w:val="1"/>
      <w:marLeft w:val="0"/>
      <w:marRight w:val="0"/>
      <w:marTop w:val="0"/>
      <w:marBottom w:val="0"/>
      <w:divBdr>
        <w:top w:val="none" w:sz="0" w:space="0" w:color="auto"/>
        <w:left w:val="none" w:sz="0" w:space="0" w:color="auto"/>
        <w:bottom w:val="none" w:sz="0" w:space="0" w:color="auto"/>
        <w:right w:val="none" w:sz="0" w:space="0" w:color="auto"/>
      </w:divBdr>
    </w:div>
    <w:div w:id="1719742017">
      <w:marLeft w:val="0"/>
      <w:marRight w:val="0"/>
      <w:marTop w:val="0"/>
      <w:marBottom w:val="0"/>
      <w:divBdr>
        <w:top w:val="none" w:sz="0" w:space="0" w:color="auto"/>
        <w:left w:val="none" w:sz="0" w:space="0" w:color="auto"/>
        <w:bottom w:val="none" w:sz="0" w:space="0" w:color="auto"/>
        <w:right w:val="none" w:sz="0" w:space="0" w:color="auto"/>
      </w:divBdr>
    </w:div>
    <w:div w:id="1725908616">
      <w:marLeft w:val="0"/>
      <w:marRight w:val="0"/>
      <w:marTop w:val="0"/>
      <w:marBottom w:val="0"/>
      <w:divBdr>
        <w:top w:val="none" w:sz="0" w:space="0" w:color="auto"/>
        <w:left w:val="none" w:sz="0" w:space="0" w:color="auto"/>
        <w:bottom w:val="none" w:sz="0" w:space="0" w:color="auto"/>
        <w:right w:val="none" w:sz="0" w:space="0" w:color="auto"/>
      </w:divBdr>
    </w:div>
    <w:div w:id="1726877288">
      <w:marLeft w:val="0"/>
      <w:marRight w:val="0"/>
      <w:marTop w:val="0"/>
      <w:marBottom w:val="0"/>
      <w:divBdr>
        <w:top w:val="none" w:sz="0" w:space="0" w:color="auto"/>
        <w:left w:val="none" w:sz="0" w:space="0" w:color="auto"/>
        <w:bottom w:val="none" w:sz="0" w:space="0" w:color="auto"/>
        <w:right w:val="none" w:sz="0" w:space="0" w:color="auto"/>
      </w:divBdr>
    </w:div>
    <w:div w:id="1747610680">
      <w:marLeft w:val="0"/>
      <w:marRight w:val="0"/>
      <w:marTop w:val="0"/>
      <w:marBottom w:val="0"/>
      <w:divBdr>
        <w:top w:val="none" w:sz="0" w:space="0" w:color="auto"/>
        <w:left w:val="none" w:sz="0" w:space="0" w:color="auto"/>
        <w:bottom w:val="none" w:sz="0" w:space="0" w:color="auto"/>
        <w:right w:val="none" w:sz="0" w:space="0" w:color="auto"/>
      </w:divBdr>
    </w:div>
    <w:div w:id="1749616727">
      <w:marLeft w:val="0"/>
      <w:marRight w:val="0"/>
      <w:marTop w:val="0"/>
      <w:marBottom w:val="0"/>
      <w:divBdr>
        <w:top w:val="none" w:sz="0" w:space="0" w:color="auto"/>
        <w:left w:val="none" w:sz="0" w:space="0" w:color="auto"/>
        <w:bottom w:val="none" w:sz="0" w:space="0" w:color="auto"/>
        <w:right w:val="none" w:sz="0" w:space="0" w:color="auto"/>
      </w:divBdr>
    </w:div>
    <w:div w:id="1750424173">
      <w:marLeft w:val="0"/>
      <w:marRight w:val="0"/>
      <w:marTop w:val="0"/>
      <w:marBottom w:val="0"/>
      <w:divBdr>
        <w:top w:val="none" w:sz="0" w:space="0" w:color="auto"/>
        <w:left w:val="none" w:sz="0" w:space="0" w:color="auto"/>
        <w:bottom w:val="none" w:sz="0" w:space="0" w:color="auto"/>
        <w:right w:val="none" w:sz="0" w:space="0" w:color="auto"/>
      </w:divBdr>
    </w:div>
    <w:div w:id="1752510621">
      <w:bodyDiv w:val="1"/>
      <w:marLeft w:val="0"/>
      <w:marRight w:val="0"/>
      <w:marTop w:val="0"/>
      <w:marBottom w:val="0"/>
      <w:divBdr>
        <w:top w:val="none" w:sz="0" w:space="0" w:color="auto"/>
        <w:left w:val="none" w:sz="0" w:space="0" w:color="auto"/>
        <w:bottom w:val="none" w:sz="0" w:space="0" w:color="auto"/>
        <w:right w:val="none" w:sz="0" w:space="0" w:color="auto"/>
      </w:divBdr>
      <w:divsChild>
        <w:div w:id="886138616">
          <w:marLeft w:val="0"/>
          <w:marRight w:val="0"/>
          <w:marTop w:val="0"/>
          <w:marBottom w:val="0"/>
          <w:divBdr>
            <w:top w:val="none" w:sz="0" w:space="0" w:color="auto"/>
            <w:left w:val="none" w:sz="0" w:space="0" w:color="auto"/>
            <w:bottom w:val="none" w:sz="0" w:space="0" w:color="auto"/>
            <w:right w:val="none" w:sz="0" w:space="0" w:color="auto"/>
          </w:divBdr>
          <w:divsChild>
            <w:div w:id="907769659">
              <w:marLeft w:val="3000"/>
              <w:marRight w:val="0"/>
              <w:marTop w:val="0"/>
              <w:marBottom w:val="0"/>
              <w:divBdr>
                <w:top w:val="none" w:sz="0" w:space="0" w:color="auto"/>
                <w:left w:val="single" w:sz="48" w:space="4" w:color="FFFFFF"/>
                <w:bottom w:val="none" w:sz="0" w:space="0" w:color="auto"/>
                <w:right w:val="none" w:sz="0" w:space="0" w:color="auto"/>
              </w:divBdr>
              <w:divsChild>
                <w:div w:id="59717357">
                  <w:marLeft w:val="0"/>
                  <w:marRight w:val="0"/>
                  <w:marTop w:val="0"/>
                  <w:marBottom w:val="0"/>
                  <w:divBdr>
                    <w:top w:val="none" w:sz="0" w:space="0" w:color="auto"/>
                    <w:left w:val="none" w:sz="0" w:space="0" w:color="auto"/>
                    <w:bottom w:val="none" w:sz="0" w:space="0" w:color="auto"/>
                    <w:right w:val="none" w:sz="0" w:space="0" w:color="auto"/>
                  </w:divBdr>
                  <w:divsChild>
                    <w:div w:id="122699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414301">
      <w:bodyDiv w:val="1"/>
      <w:marLeft w:val="0"/>
      <w:marRight w:val="0"/>
      <w:marTop w:val="0"/>
      <w:marBottom w:val="0"/>
      <w:divBdr>
        <w:top w:val="none" w:sz="0" w:space="0" w:color="auto"/>
        <w:left w:val="none" w:sz="0" w:space="0" w:color="auto"/>
        <w:bottom w:val="none" w:sz="0" w:space="0" w:color="auto"/>
        <w:right w:val="none" w:sz="0" w:space="0" w:color="auto"/>
      </w:divBdr>
    </w:div>
    <w:div w:id="1762603005">
      <w:bodyDiv w:val="1"/>
      <w:marLeft w:val="0"/>
      <w:marRight w:val="0"/>
      <w:marTop w:val="0"/>
      <w:marBottom w:val="0"/>
      <w:divBdr>
        <w:top w:val="none" w:sz="0" w:space="0" w:color="auto"/>
        <w:left w:val="none" w:sz="0" w:space="0" w:color="auto"/>
        <w:bottom w:val="none" w:sz="0" w:space="0" w:color="auto"/>
        <w:right w:val="none" w:sz="0" w:space="0" w:color="auto"/>
      </w:divBdr>
    </w:div>
    <w:div w:id="1769622186">
      <w:marLeft w:val="0"/>
      <w:marRight w:val="0"/>
      <w:marTop w:val="0"/>
      <w:marBottom w:val="0"/>
      <w:divBdr>
        <w:top w:val="none" w:sz="0" w:space="0" w:color="auto"/>
        <w:left w:val="none" w:sz="0" w:space="0" w:color="auto"/>
        <w:bottom w:val="none" w:sz="0" w:space="0" w:color="auto"/>
        <w:right w:val="none" w:sz="0" w:space="0" w:color="auto"/>
      </w:divBdr>
    </w:div>
    <w:div w:id="1770932469">
      <w:marLeft w:val="0"/>
      <w:marRight w:val="0"/>
      <w:marTop w:val="0"/>
      <w:marBottom w:val="0"/>
      <w:divBdr>
        <w:top w:val="none" w:sz="0" w:space="0" w:color="auto"/>
        <w:left w:val="none" w:sz="0" w:space="0" w:color="auto"/>
        <w:bottom w:val="none" w:sz="0" w:space="0" w:color="auto"/>
        <w:right w:val="none" w:sz="0" w:space="0" w:color="auto"/>
      </w:divBdr>
    </w:div>
    <w:div w:id="1775203729">
      <w:marLeft w:val="0"/>
      <w:marRight w:val="0"/>
      <w:marTop w:val="0"/>
      <w:marBottom w:val="0"/>
      <w:divBdr>
        <w:top w:val="none" w:sz="0" w:space="0" w:color="auto"/>
        <w:left w:val="none" w:sz="0" w:space="0" w:color="auto"/>
        <w:bottom w:val="none" w:sz="0" w:space="0" w:color="auto"/>
        <w:right w:val="none" w:sz="0" w:space="0" w:color="auto"/>
      </w:divBdr>
    </w:div>
    <w:div w:id="1777870370">
      <w:marLeft w:val="0"/>
      <w:marRight w:val="0"/>
      <w:marTop w:val="0"/>
      <w:marBottom w:val="0"/>
      <w:divBdr>
        <w:top w:val="none" w:sz="0" w:space="0" w:color="auto"/>
        <w:left w:val="none" w:sz="0" w:space="0" w:color="auto"/>
        <w:bottom w:val="none" w:sz="0" w:space="0" w:color="auto"/>
        <w:right w:val="none" w:sz="0" w:space="0" w:color="auto"/>
      </w:divBdr>
    </w:div>
    <w:div w:id="1786149948">
      <w:marLeft w:val="0"/>
      <w:marRight w:val="0"/>
      <w:marTop w:val="0"/>
      <w:marBottom w:val="0"/>
      <w:divBdr>
        <w:top w:val="none" w:sz="0" w:space="0" w:color="auto"/>
        <w:left w:val="none" w:sz="0" w:space="0" w:color="auto"/>
        <w:bottom w:val="none" w:sz="0" w:space="0" w:color="auto"/>
        <w:right w:val="none" w:sz="0" w:space="0" w:color="auto"/>
      </w:divBdr>
    </w:div>
    <w:div w:id="1787695196">
      <w:marLeft w:val="0"/>
      <w:marRight w:val="0"/>
      <w:marTop w:val="0"/>
      <w:marBottom w:val="0"/>
      <w:divBdr>
        <w:top w:val="none" w:sz="0" w:space="0" w:color="auto"/>
        <w:left w:val="none" w:sz="0" w:space="0" w:color="auto"/>
        <w:bottom w:val="none" w:sz="0" w:space="0" w:color="auto"/>
        <w:right w:val="none" w:sz="0" w:space="0" w:color="auto"/>
      </w:divBdr>
    </w:div>
    <w:div w:id="1793087808">
      <w:marLeft w:val="0"/>
      <w:marRight w:val="0"/>
      <w:marTop w:val="0"/>
      <w:marBottom w:val="0"/>
      <w:divBdr>
        <w:top w:val="none" w:sz="0" w:space="0" w:color="auto"/>
        <w:left w:val="none" w:sz="0" w:space="0" w:color="auto"/>
        <w:bottom w:val="none" w:sz="0" w:space="0" w:color="auto"/>
        <w:right w:val="none" w:sz="0" w:space="0" w:color="auto"/>
      </w:divBdr>
    </w:div>
    <w:div w:id="1798791253">
      <w:marLeft w:val="0"/>
      <w:marRight w:val="0"/>
      <w:marTop w:val="0"/>
      <w:marBottom w:val="0"/>
      <w:divBdr>
        <w:top w:val="none" w:sz="0" w:space="0" w:color="auto"/>
        <w:left w:val="none" w:sz="0" w:space="0" w:color="auto"/>
        <w:bottom w:val="none" w:sz="0" w:space="0" w:color="auto"/>
        <w:right w:val="none" w:sz="0" w:space="0" w:color="auto"/>
      </w:divBdr>
    </w:div>
    <w:div w:id="1799911797">
      <w:marLeft w:val="0"/>
      <w:marRight w:val="0"/>
      <w:marTop w:val="0"/>
      <w:marBottom w:val="0"/>
      <w:divBdr>
        <w:top w:val="none" w:sz="0" w:space="0" w:color="auto"/>
        <w:left w:val="none" w:sz="0" w:space="0" w:color="auto"/>
        <w:bottom w:val="none" w:sz="0" w:space="0" w:color="auto"/>
        <w:right w:val="none" w:sz="0" w:space="0" w:color="auto"/>
      </w:divBdr>
    </w:div>
    <w:div w:id="1807316331">
      <w:marLeft w:val="0"/>
      <w:marRight w:val="0"/>
      <w:marTop w:val="0"/>
      <w:marBottom w:val="0"/>
      <w:divBdr>
        <w:top w:val="none" w:sz="0" w:space="0" w:color="auto"/>
        <w:left w:val="none" w:sz="0" w:space="0" w:color="auto"/>
        <w:bottom w:val="none" w:sz="0" w:space="0" w:color="auto"/>
        <w:right w:val="none" w:sz="0" w:space="0" w:color="auto"/>
      </w:divBdr>
    </w:div>
    <w:div w:id="1819570422">
      <w:bodyDiv w:val="1"/>
      <w:marLeft w:val="0"/>
      <w:marRight w:val="0"/>
      <w:marTop w:val="0"/>
      <w:marBottom w:val="0"/>
      <w:divBdr>
        <w:top w:val="none" w:sz="0" w:space="0" w:color="auto"/>
        <w:left w:val="none" w:sz="0" w:space="0" w:color="auto"/>
        <w:bottom w:val="none" w:sz="0" w:space="0" w:color="auto"/>
        <w:right w:val="none" w:sz="0" w:space="0" w:color="auto"/>
      </w:divBdr>
      <w:divsChild>
        <w:div w:id="968588346">
          <w:marLeft w:val="0"/>
          <w:marRight w:val="0"/>
          <w:marTop w:val="0"/>
          <w:marBottom w:val="0"/>
          <w:divBdr>
            <w:top w:val="none" w:sz="0" w:space="0" w:color="auto"/>
            <w:left w:val="none" w:sz="0" w:space="0" w:color="auto"/>
            <w:bottom w:val="none" w:sz="0" w:space="0" w:color="auto"/>
            <w:right w:val="none" w:sz="0" w:space="0" w:color="auto"/>
          </w:divBdr>
        </w:div>
      </w:divsChild>
    </w:div>
    <w:div w:id="1823620321">
      <w:marLeft w:val="0"/>
      <w:marRight w:val="0"/>
      <w:marTop w:val="0"/>
      <w:marBottom w:val="0"/>
      <w:divBdr>
        <w:top w:val="none" w:sz="0" w:space="0" w:color="auto"/>
        <w:left w:val="none" w:sz="0" w:space="0" w:color="auto"/>
        <w:bottom w:val="none" w:sz="0" w:space="0" w:color="auto"/>
        <w:right w:val="none" w:sz="0" w:space="0" w:color="auto"/>
      </w:divBdr>
    </w:div>
    <w:div w:id="1826315206">
      <w:marLeft w:val="0"/>
      <w:marRight w:val="0"/>
      <w:marTop w:val="0"/>
      <w:marBottom w:val="0"/>
      <w:divBdr>
        <w:top w:val="none" w:sz="0" w:space="0" w:color="auto"/>
        <w:left w:val="none" w:sz="0" w:space="0" w:color="auto"/>
        <w:bottom w:val="none" w:sz="0" w:space="0" w:color="auto"/>
        <w:right w:val="none" w:sz="0" w:space="0" w:color="auto"/>
      </w:divBdr>
    </w:div>
    <w:div w:id="1829831159">
      <w:marLeft w:val="0"/>
      <w:marRight w:val="0"/>
      <w:marTop w:val="0"/>
      <w:marBottom w:val="0"/>
      <w:divBdr>
        <w:top w:val="none" w:sz="0" w:space="0" w:color="auto"/>
        <w:left w:val="none" w:sz="0" w:space="0" w:color="auto"/>
        <w:bottom w:val="none" w:sz="0" w:space="0" w:color="auto"/>
        <w:right w:val="none" w:sz="0" w:space="0" w:color="auto"/>
      </w:divBdr>
    </w:div>
    <w:div w:id="1831478379">
      <w:marLeft w:val="0"/>
      <w:marRight w:val="0"/>
      <w:marTop w:val="0"/>
      <w:marBottom w:val="0"/>
      <w:divBdr>
        <w:top w:val="none" w:sz="0" w:space="0" w:color="auto"/>
        <w:left w:val="none" w:sz="0" w:space="0" w:color="auto"/>
        <w:bottom w:val="none" w:sz="0" w:space="0" w:color="auto"/>
        <w:right w:val="none" w:sz="0" w:space="0" w:color="auto"/>
      </w:divBdr>
    </w:div>
    <w:div w:id="1835533994">
      <w:marLeft w:val="0"/>
      <w:marRight w:val="0"/>
      <w:marTop w:val="0"/>
      <w:marBottom w:val="0"/>
      <w:divBdr>
        <w:top w:val="none" w:sz="0" w:space="0" w:color="auto"/>
        <w:left w:val="none" w:sz="0" w:space="0" w:color="auto"/>
        <w:bottom w:val="none" w:sz="0" w:space="0" w:color="auto"/>
        <w:right w:val="none" w:sz="0" w:space="0" w:color="auto"/>
      </w:divBdr>
    </w:div>
    <w:div w:id="1850943837">
      <w:marLeft w:val="0"/>
      <w:marRight w:val="0"/>
      <w:marTop w:val="0"/>
      <w:marBottom w:val="0"/>
      <w:divBdr>
        <w:top w:val="none" w:sz="0" w:space="0" w:color="auto"/>
        <w:left w:val="none" w:sz="0" w:space="0" w:color="auto"/>
        <w:bottom w:val="none" w:sz="0" w:space="0" w:color="auto"/>
        <w:right w:val="none" w:sz="0" w:space="0" w:color="auto"/>
      </w:divBdr>
    </w:div>
    <w:div w:id="1859195274">
      <w:marLeft w:val="0"/>
      <w:marRight w:val="0"/>
      <w:marTop w:val="0"/>
      <w:marBottom w:val="0"/>
      <w:divBdr>
        <w:top w:val="none" w:sz="0" w:space="0" w:color="auto"/>
        <w:left w:val="none" w:sz="0" w:space="0" w:color="auto"/>
        <w:bottom w:val="none" w:sz="0" w:space="0" w:color="auto"/>
        <w:right w:val="none" w:sz="0" w:space="0" w:color="auto"/>
      </w:divBdr>
    </w:div>
    <w:div w:id="1861696589">
      <w:bodyDiv w:val="1"/>
      <w:marLeft w:val="0"/>
      <w:marRight w:val="0"/>
      <w:marTop w:val="0"/>
      <w:marBottom w:val="0"/>
      <w:divBdr>
        <w:top w:val="none" w:sz="0" w:space="0" w:color="auto"/>
        <w:left w:val="none" w:sz="0" w:space="0" w:color="auto"/>
        <w:bottom w:val="none" w:sz="0" w:space="0" w:color="auto"/>
        <w:right w:val="none" w:sz="0" w:space="0" w:color="auto"/>
      </w:divBdr>
    </w:div>
    <w:div w:id="1866400062">
      <w:marLeft w:val="0"/>
      <w:marRight w:val="0"/>
      <w:marTop w:val="0"/>
      <w:marBottom w:val="0"/>
      <w:divBdr>
        <w:top w:val="none" w:sz="0" w:space="0" w:color="auto"/>
        <w:left w:val="none" w:sz="0" w:space="0" w:color="auto"/>
        <w:bottom w:val="none" w:sz="0" w:space="0" w:color="auto"/>
        <w:right w:val="none" w:sz="0" w:space="0" w:color="auto"/>
      </w:divBdr>
    </w:div>
    <w:div w:id="1866944471">
      <w:bodyDiv w:val="1"/>
      <w:marLeft w:val="0"/>
      <w:marRight w:val="0"/>
      <w:marTop w:val="0"/>
      <w:marBottom w:val="0"/>
      <w:divBdr>
        <w:top w:val="none" w:sz="0" w:space="0" w:color="auto"/>
        <w:left w:val="none" w:sz="0" w:space="0" w:color="auto"/>
        <w:bottom w:val="none" w:sz="0" w:space="0" w:color="auto"/>
        <w:right w:val="none" w:sz="0" w:space="0" w:color="auto"/>
      </w:divBdr>
    </w:div>
    <w:div w:id="1869105295">
      <w:marLeft w:val="0"/>
      <w:marRight w:val="0"/>
      <w:marTop w:val="0"/>
      <w:marBottom w:val="0"/>
      <w:divBdr>
        <w:top w:val="none" w:sz="0" w:space="0" w:color="auto"/>
        <w:left w:val="none" w:sz="0" w:space="0" w:color="auto"/>
        <w:bottom w:val="none" w:sz="0" w:space="0" w:color="auto"/>
        <w:right w:val="none" w:sz="0" w:space="0" w:color="auto"/>
      </w:divBdr>
    </w:div>
    <w:div w:id="1888909921">
      <w:bodyDiv w:val="1"/>
      <w:marLeft w:val="0"/>
      <w:marRight w:val="0"/>
      <w:marTop w:val="0"/>
      <w:marBottom w:val="0"/>
      <w:divBdr>
        <w:top w:val="none" w:sz="0" w:space="0" w:color="auto"/>
        <w:left w:val="none" w:sz="0" w:space="0" w:color="auto"/>
        <w:bottom w:val="none" w:sz="0" w:space="0" w:color="auto"/>
        <w:right w:val="none" w:sz="0" w:space="0" w:color="auto"/>
      </w:divBdr>
    </w:div>
    <w:div w:id="1899976045">
      <w:marLeft w:val="0"/>
      <w:marRight w:val="0"/>
      <w:marTop w:val="0"/>
      <w:marBottom w:val="0"/>
      <w:divBdr>
        <w:top w:val="none" w:sz="0" w:space="0" w:color="auto"/>
        <w:left w:val="none" w:sz="0" w:space="0" w:color="auto"/>
        <w:bottom w:val="none" w:sz="0" w:space="0" w:color="auto"/>
        <w:right w:val="none" w:sz="0" w:space="0" w:color="auto"/>
      </w:divBdr>
    </w:div>
    <w:div w:id="1903364173">
      <w:bodyDiv w:val="1"/>
      <w:marLeft w:val="0"/>
      <w:marRight w:val="0"/>
      <w:marTop w:val="0"/>
      <w:marBottom w:val="0"/>
      <w:divBdr>
        <w:top w:val="none" w:sz="0" w:space="0" w:color="auto"/>
        <w:left w:val="none" w:sz="0" w:space="0" w:color="auto"/>
        <w:bottom w:val="none" w:sz="0" w:space="0" w:color="auto"/>
        <w:right w:val="none" w:sz="0" w:space="0" w:color="auto"/>
      </w:divBdr>
    </w:div>
    <w:div w:id="1904759078">
      <w:marLeft w:val="0"/>
      <w:marRight w:val="0"/>
      <w:marTop w:val="0"/>
      <w:marBottom w:val="0"/>
      <w:divBdr>
        <w:top w:val="none" w:sz="0" w:space="0" w:color="auto"/>
        <w:left w:val="none" w:sz="0" w:space="0" w:color="auto"/>
        <w:bottom w:val="none" w:sz="0" w:space="0" w:color="auto"/>
        <w:right w:val="none" w:sz="0" w:space="0" w:color="auto"/>
      </w:divBdr>
    </w:div>
    <w:div w:id="1908685342">
      <w:marLeft w:val="0"/>
      <w:marRight w:val="0"/>
      <w:marTop w:val="0"/>
      <w:marBottom w:val="0"/>
      <w:divBdr>
        <w:top w:val="none" w:sz="0" w:space="0" w:color="auto"/>
        <w:left w:val="none" w:sz="0" w:space="0" w:color="auto"/>
        <w:bottom w:val="none" w:sz="0" w:space="0" w:color="auto"/>
        <w:right w:val="none" w:sz="0" w:space="0" w:color="auto"/>
      </w:divBdr>
    </w:div>
    <w:div w:id="1909267705">
      <w:bodyDiv w:val="1"/>
      <w:marLeft w:val="0"/>
      <w:marRight w:val="0"/>
      <w:marTop w:val="0"/>
      <w:marBottom w:val="0"/>
      <w:divBdr>
        <w:top w:val="none" w:sz="0" w:space="0" w:color="auto"/>
        <w:left w:val="none" w:sz="0" w:space="0" w:color="auto"/>
        <w:bottom w:val="none" w:sz="0" w:space="0" w:color="auto"/>
        <w:right w:val="none" w:sz="0" w:space="0" w:color="auto"/>
      </w:divBdr>
    </w:div>
    <w:div w:id="1910115417">
      <w:bodyDiv w:val="1"/>
      <w:marLeft w:val="0"/>
      <w:marRight w:val="0"/>
      <w:marTop w:val="0"/>
      <w:marBottom w:val="0"/>
      <w:divBdr>
        <w:top w:val="none" w:sz="0" w:space="0" w:color="auto"/>
        <w:left w:val="none" w:sz="0" w:space="0" w:color="auto"/>
        <w:bottom w:val="none" w:sz="0" w:space="0" w:color="auto"/>
        <w:right w:val="none" w:sz="0" w:space="0" w:color="auto"/>
      </w:divBdr>
    </w:div>
    <w:div w:id="1914772276">
      <w:bodyDiv w:val="1"/>
      <w:marLeft w:val="0"/>
      <w:marRight w:val="0"/>
      <w:marTop w:val="0"/>
      <w:marBottom w:val="0"/>
      <w:divBdr>
        <w:top w:val="none" w:sz="0" w:space="0" w:color="auto"/>
        <w:left w:val="none" w:sz="0" w:space="0" w:color="auto"/>
        <w:bottom w:val="none" w:sz="0" w:space="0" w:color="auto"/>
        <w:right w:val="none" w:sz="0" w:space="0" w:color="auto"/>
      </w:divBdr>
    </w:div>
    <w:div w:id="1919512513">
      <w:marLeft w:val="0"/>
      <w:marRight w:val="0"/>
      <w:marTop w:val="0"/>
      <w:marBottom w:val="0"/>
      <w:divBdr>
        <w:top w:val="none" w:sz="0" w:space="0" w:color="auto"/>
        <w:left w:val="none" w:sz="0" w:space="0" w:color="auto"/>
        <w:bottom w:val="none" w:sz="0" w:space="0" w:color="auto"/>
        <w:right w:val="none" w:sz="0" w:space="0" w:color="auto"/>
      </w:divBdr>
    </w:div>
    <w:div w:id="1919822232">
      <w:marLeft w:val="0"/>
      <w:marRight w:val="0"/>
      <w:marTop w:val="0"/>
      <w:marBottom w:val="0"/>
      <w:divBdr>
        <w:top w:val="none" w:sz="0" w:space="0" w:color="auto"/>
        <w:left w:val="none" w:sz="0" w:space="0" w:color="auto"/>
        <w:bottom w:val="none" w:sz="0" w:space="0" w:color="auto"/>
        <w:right w:val="none" w:sz="0" w:space="0" w:color="auto"/>
      </w:divBdr>
    </w:div>
    <w:div w:id="1920211430">
      <w:marLeft w:val="0"/>
      <w:marRight w:val="0"/>
      <w:marTop w:val="0"/>
      <w:marBottom w:val="0"/>
      <w:divBdr>
        <w:top w:val="none" w:sz="0" w:space="0" w:color="auto"/>
        <w:left w:val="none" w:sz="0" w:space="0" w:color="auto"/>
        <w:bottom w:val="none" w:sz="0" w:space="0" w:color="auto"/>
        <w:right w:val="none" w:sz="0" w:space="0" w:color="auto"/>
      </w:divBdr>
    </w:div>
    <w:div w:id="1924558999">
      <w:marLeft w:val="0"/>
      <w:marRight w:val="0"/>
      <w:marTop w:val="0"/>
      <w:marBottom w:val="0"/>
      <w:divBdr>
        <w:top w:val="none" w:sz="0" w:space="0" w:color="auto"/>
        <w:left w:val="none" w:sz="0" w:space="0" w:color="auto"/>
        <w:bottom w:val="none" w:sz="0" w:space="0" w:color="auto"/>
        <w:right w:val="none" w:sz="0" w:space="0" w:color="auto"/>
      </w:divBdr>
    </w:div>
    <w:div w:id="1926068803">
      <w:marLeft w:val="0"/>
      <w:marRight w:val="0"/>
      <w:marTop w:val="0"/>
      <w:marBottom w:val="0"/>
      <w:divBdr>
        <w:top w:val="none" w:sz="0" w:space="0" w:color="auto"/>
        <w:left w:val="none" w:sz="0" w:space="0" w:color="auto"/>
        <w:bottom w:val="none" w:sz="0" w:space="0" w:color="auto"/>
        <w:right w:val="none" w:sz="0" w:space="0" w:color="auto"/>
      </w:divBdr>
    </w:div>
    <w:div w:id="1928342254">
      <w:marLeft w:val="0"/>
      <w:marRight w:val="0"/>
      <w:marTop w:val="0"/>
      <w:marBottom w:val="0"/>
      <w:divBdr>
        <w:top w:val="none" w:sz="0" w:space="0" w:color="auto"/>
        <w:left w:val="none" w:sz="0" w:space="0" w:color="auto"/>
        <w:bottom w:val="none" w:sz="0" w:space="0" w:color="auto"/>
        <w:right w:val="none" w:sz="0" w:space="0" w:color="auto"/>
      </w:divBdr>
    </w:div>
    <w:div w:id="1931812657">
      <w:marLeft w:val="0"/>
      <w:marRight w:val="0"/>
      <w:marTop w:val="0"/>
      <w:marBottom w:val="0"/>
      <w:divBdr>
        <w:top w:val="none" w:sz="0" w:space="0" w:color="auto"/>
        <w:left w:val="none" w:sz="0" w:space="0" w:color="auto"/>
        <w:bottom w:val="none" w:sz="0" w:space="0" w:color="auto"/>
        <w:right w:val="none" w:sz="0" w:space="0" w:color="auto"/>
      </w:divBdr>
    </w:div>
    <w:div w:id="1949654538">
      <w:marLeft w:val="0"/>
      <w:marRight w:val="0"/>
      <w:marTop w:val="0"/>
      <w:marBottom w:val="0"/>
      <w:divBdr>
        <w:top w:val="none" w:sz="0" w:space="0" w:color="auto"/>
        <w:left w:val="none" w:sz="0" w:space="0" w:color="auto"/>
        <w:bottom w:val="none" w:sz="0" w:space="0" w:color="auto"/>
        <w:right w:val="none" w:sz="0" w:space="0" w:color="auto"/>
      </w:divBdr>
    </w:div>
    <w:div w:id="1961302067">
      <w:marLeft w:val="0"/>
      <w:marRight w:val="0"/>
      <w:marTop w:val="0"/>
      <w:marBottom w:val="0"/>
      <w:divBdr>
        <w:top w:val="none" w:sz="0" w:space="0" w:color="auto"/>
        <w:left w:val="none" w:sz="0" w:space="0" w:color="auto"/>
        <w:bottom w:val="none" w:sz="0" w:space="0" w:color="auto"/>
        <w:right w:val="none" w:sz="0" w:space="0" w:color="auto"/>
      </w:divBdr>
    </w:div>
    <w:div w:id="1964114770">
      <w:marLeft w:val="0"/>
      <w:marRight w:val="0"/>
      <w:marTop w:val="0"/>
      <w:marBottom w:val="0"/>
      <w:divBdr>
        <w:top w:val="none" w:sz="0" w:space="0" w:color="auto"/>
        <w:left w:val="none" w:sz="0" w:space="0" w:color="auto"/>
        <w:bottom w:val="none" w:sz="0" w:space="0" w:color="auto"/>
        <w:right w:val="none" w:sz="0" w:space="0" w:color="auto"/>
      </w:divBdr>
    </w:div>
    <w:div w:id="1965190991">
      <w:marLeft w:val="0"/>
      <w:marRight w:val="0"/>
      <w:marTop w:val="0"/>
      <w:marBottom w:val="0"/>
      <w:divBdr>
        <w:top w:val="none" w:sz="0" w:space="0" w:color="auto"/>
        <w:left w:val="none" w:sz="0" w:space="0" w:color="auto"/>
        <w:bottom w:val="none" w:sz="0" w:space="0" w:color="auto"/>
        <w:right w:val="none" w:sz="0" w:space="0" w:color="auto"/>
      </w:divBdr>
    </w:div>
    <w:div w:id="1983776468">
      <w:marLeft w:val="0"/>
      <w:marRight w:val="0"/>
      <w:marTop w:val="0"/>
      <w:marBottom w:val="0"/>
      <w:divBdr>
        <w:top w:val="none" w:sz="0" w:space="0" w:color="auto"/>
        <w:left w:val="none" w:sz="0" w:space="0" w:color="auto"/>
        <w:bottom w:val="none" w:sz="0" w:space="0" w:color="auto"/>
        <w:right w:val="none" w:sz="0" w:space="0" w:color="auto"/>
      </w:divBdr>
    </w:div>
    <w:div w:id="1990866044">
      <w:bodyDiv w:val="1"/>
      <w:marLeft w:val="0"/>
      <w:marRight w:val="0"/>
      <w:marTop w:val="0"/>
      <w:marBottom w:val="0"/>
      <w:divBdr>
        <w:top w:val="none" w:sz="0" w:space="0" w:color="auto"/>
        <w:left w:val="none" w:sz="0" w:space="0" w:color="auto"/>
        <w:bottom w:val="none" w:sz="0" w:space="0" w:color="auto"/>
        <w:right w:val="none" w:sz="0" w:space="0" w:color="auto"/>
      </w:divBdr>
    </w:div>
    <w:div w:id="1995990313">
      <w:marLeft w:val="0"/>
      <w:marRight w:val="0"/>
      <w:marTop w:val="0"/>
      <w:marBottom w:val="0"/>
      <w:divBdr>
        <w:top w:val="none" w:sz="0" w:space="0" w:color="auto"/>
        <w:left w:val="none" w:sz="0" w:space="0" w:color="auto"/>
        <w:bottom w:val="none" w:sz="0" w:space="0" w:color="auto"/>
        <w:right w:val="none" w:sz="0" w:space="0" w:color="auto"/>
      </w:divBdr>
    </w:div>
    <w:div w:id="2018530691">
      <w:marLeft w:val="0"/>
      <w:marRight w:val="0"/>
      <w:marTop w:val="0"/>
      <w:marBottom w:val="0"/>
      <w:divBdr>
        <w:top w:val="none" w:sz="0" w:space="0" w:color="auto"/>
        <w:left w:val="none" w:sz="0" w:space="0" w:color="auto"/>
        <w:bottom w:val="none" w:sz="0" w:space="0" w:color="auto"/>
        <w:right w:val="none" w:sz="0" w:space="0" w:color="auto"/>
      </w:divBdr>
    </w:div>
    <w:div w:id="2020154135">
      <w:marLeft w:val="0"/>
      <w:marRight w:val="0"/>
      <w:marTop w:val="0"/>
      <w:marBottom w:val="0"/>
      <w:divBdr>
        <w:top w:val="none" w:sz="0" w:space="0" w:color="auto"/>
        <w:left w:val="none" w:sz="0" w:space="0" w:color="auto"/>
        <w:bottom w:val="none" w:sz="0" w:space="0" w:color="auto"/>
        <w:right w:val="none" w:sz="0" w:space="0" w:color="auto"/>
      </w:divBdr>
    </w:div>
    <w:div w:id="2022733769">
      <w:bodyDiv w:val="1"/>
      <w:marLeft w:val="0"/>
      <w:marRight w:val="0"/>
      <w:marTop w:val="0"/>
      <w:marBottom w:val="0"/>
      <w:divBdr>
        <w:top w:val="none" w:sz="0" w:space="0" w:color="auto"/>
        <w:left w:val="none" w:sz="0" w:space="0" w:color="auto"/>
        <w:bottom w:val="none" w:sz="0" w:space="0" w:color="auto"/>
        <w:right w:val="none" w:sz="0" w:space="0" w:color="auto"/>
      </w:divBdr>
    </w:div>
    <w:div w:id="2025982371">
      <w:marLeft w:val="0"/>
      <w:marRight w:val="0"/>
      <w:marTop w:val="0"/>
      <w:marBottom w:val="0"/>
      <w:divBdr>
        <w:top w:val="none" w:sz="0" w:space="0" w:color="auto"/>
        <w:left w:val="none" w:sz="0" w:space="0" w:color="auto"/>
        <w:bottom w:val="none" w:sz="0" w:space="0" w:color="auto"/>
        <w:right w:val="none" w:sz="0" w:space="0" w:color="auto"/>
      </w:divBdr>
    </w:div>
    <w:div w:id="2061900551">
      <w:marLeft w:val="0"/>
      <w:marRight w:val="0"/>
      <w:marTop w:val="0"/>
      <w:marBottom w:val="0"/>
      <w:divBdr>
        <w:top w:val="none" w:sz="0" w:space="0" w:color="auto"/>
        <w:left w:val="none" w:sz="0" w:space="0" w:color="auto"/>
        <w:bottom w:val="none" w:sz="0" w:space="0" w:color="auto"/>
        <w:right w:val="none" w:sz="0" w:space="0" w:color="auto"/>
      </w:divBdr>
    </w:div>
    <w:div w:id="2066831451">
      <w:marLeft w:val="0"/>
      <w:marRight w:val="0"/>
      <w:marTop w:val="0"/>
      <w:marBottom w:val="0"/>
      <w:divBdr>
        <w:top w:val="none" w:sz="0" w:space="0" w:color="auto"/>
        <w:left w:val="none" w:sz="0" w:space="0" w:color="auto"/>
        <w:bottom w:val="none" w:sz="0" w:space="0" w:color="auto"/>
        <w:right w:val="none" w:sz="0" w:space="0" w:color="auto"/>
      </w:divBdr>
    </w:div>
    <w:div w:id="2074157790">
      <w:marLeft w:val="0"/>
      <w:marRight w:val="0"/>
      <w:marTop w:val="0"/>
      <w:marBottom w:val="0"/>
      <w:divBdr>
        <w:top w:val="none" w:sz="0" w:space="0" w:color="auto"/>
        <w:left w:val="none" w:sz="0" w:space="0" w:color="auto"/>
        <w:bottom w:val="none" w:sz="0" w:space="0" w:color="auto"/>
        <w:right w:val="none" w:sz="0" w:space="0" w:color="auto"/>
      </w:divBdr>
    </w:div>
    <w:div w:id="2074233266">
      <w:marLeft w:val="0"/>
      <w:marRight w:val="0"/>
      <w:marTop w:val="0"/>
      <w:marBottom w:val="0"/>
      <w:divBdr>
        <w:top w:val="none" w:sz="0" w:space="0" w:color="auto"/>
        <w:left w:val="none" w:sz="0" w:space="0" w:color="auto"/>
        <w:bottom w:val="none" w:sz="0" w:space="0" w:color="auto"/>
        <w:right w:val="none" w:sz="0" w:space="0" w:color="auto"/>
      </w:divBdr>
    </w:div>
    <w:div w:id="2075203898">
      <w:marLeft w:val="0"/>
      <w:marRight w:val="0"/>
      <w:marTop w:val="0"/>
      <w:marBottom w:val="0"/>
      <w:divBdr>
        <w:top w:val="none" w:sz="0" w:space="0" w:color="auto"/>
        <w:left w:val="none" w:sz="0" w:space="0" w:color="auto"/>
        <w:bottom w:val="none" w:sz="0" w:space="0" w:color="auto"/>
        <w:right w:val="none" w:sz="0" w:space="0" w:color="auto"/>
      </w:divBdr>
    </w:div>
    <w:div w:id="2075424489">
      <w:marLeft w:val="0"/>
      <w:marRight w:val="0"/>
      <w:marTop w:val="0"/>
      <w:marBottom w:val="0"/>
      <w:divBdr>
        <w:top w:val="none" w:sz="0" w:space="0" w:color="auto"/>
        <w:left w:val="none" w:sz="0" w:space="0" w:color="auto"/>
        <w:bottom w:val="none" w:sz="0" w:space="0" w:color="auto"/>
        <w:right w:val="none" w:sz="0" w:space="0" w:color="auto"/>
      </w:divBdr>
    </w:div>
    <w:div w:id="2075812275">
      <w:bodyDiv w:val="1"/>
      <w:marLeft w:val="0"/>
      <w:marRight w:val="0"/>
      <w:marTop w:val="0"/>
      <w:marBottom w:val="0"/>
      <w:divBdr>
        <w:top w:val="none" w:sz="0" w:space="0" w:color="auto"/>
        <w:left w:val="none" w:sz="0" w:space="0" w:color="auto"/>
        <w:bottom w:val="none" w:sz="0" w:space="0" w:color="auto"/>
        <w:right w:val="none" w:sz="0" w:space="0" w:color="auto"/>
      </w:divBdr>
    </w:div>
    <w:div w:id="2083409051">
      <w:marLeft w:val="0"/>
      <w:marRight w:val="0"/>
      <w:marTop w:val="0"/>
      <w:marBottom w:val="0"/>
      <w:divBdr>
        <w:top w:val="none" w:sz="0" w:space="0" w:color="auto"/>
        <w:left w:val="none" w:sz="0" w:space="0" w:color="auto"/>
        <w:bottom w:val="none" w:sz="0" w:space="0" w:color="auto"/>
        <w:right w:val="none" w:sz="0" w:space="0" w:color="auto"/>
      </w:divBdr>
    </w:div>
    <w:div w:id="2087026625">
      <w:marLeft w:val="0"/>
      <w:marRight w:val="0"/>
      <w:marTop w:val="0"/>
      <w:marBottom w:val="0"/>
      <w:divBdr>
        <w:top w:val="none" w:sz="0" w:space="0" w:color="auto"/>
        <w:left w:val="none" w:sz="0" w:space="0" w:color="auto"/>
        <w:bottom w:val="none" w:sz="0" w:space="0" w:color="auto"/>
        <w:right w:val="none" w:sz="0" w:space="0" w:color="auto"/>
      </w:divBdr>
    </w:div>
    <w:div w:id="2098210867">
      <w:bodyDiv w:val="1"/>
      <w:marLeft w:val="0"/>
      <w:marRight w:val="0"/>
      <w:marTop w:val="0"/>
      <w:marBottom w:val="0"/>
      <w:divBdr>
        <w:top w:val="none" w:sz="0" w:space="0" w:color="auto"/>
        <w:left w:val="none" w:sz="0" w:space="0" w:color="auto"/>
        <w:bottom w:val="none" w:sz="0" w:space="0" w:color="auto"/>
        <w:right w:val="none" w:sz="0" w:space="0" w:color="auto"/>
      </w:divBdr>
    </w:div>
    <w:div w:id="2100442753">
      <w:marLeft w:val="0"/>
      <w:marRight w:val="0"/>
      <w:marTop w:val="0"/>
      <w:marBottom w:val="0"/>
      <w:divBdr>
        <w:top w:val="none" w:sz="0" w:space="0" w:color="auto"/>
        <w:left w:val="none" w:sz="0" w:space="0" w:color="auto"/>
        <w:bottom w:val="none" w:sz="0" w:space="0" w:color="auto"/>
        <w:right w:val="none" w:sz="0" w:space="0" w:color="auto"/>
      </w:divBdr>
    </w:div>
    <w:div w:id="2101218427">
      <w:marLeft w:val="0"/>
      <w:marRight w:val="0"/>
      <w:marTop w:val="0"/>
      <w:marBottom w:val="0"/>
      <w:divBdr>
        <w:top w:val="none" w:sz="0" w:space="0" w:color="auto"/>
        <w:left w:val="none" w:sz="0" w:space="0" w:color="auto"/>
        <w:bottom w:val="none" w:sz="0" w:space="0" w:color="auto"/>
        <w:right w:val="none" w:sz="0" w:space="0" w:color="auto"/>
      </w:divBdr>
    </w:div>
    <w:div w:id="2135319899">
      <w:marLeft w:val="0"/>
      <w:marRight w:val="0"/>
      <w:marTop w:val="0"/>
      <w:marBottom w:val="0"/>
      <w:divBdr>
        <w:top w:val="none" w:sz="0" w:space="0" w:color="auto"/>
        <w:left w:val="none" w:sz="0" w:space="0" w:color="auto"/>
        <w:bottom w:val="none" w:sz="0" w:space="0" w:color="auto"/>
        <w:right w:val="none" w:sz="0" w:space="0" w:color="auto"/>
      </w:divBdr>
    </w:div>
    <w:div w:id="2143766669">
      <w:bodyDiv w:val="1"/>
      <w:marLeft w:val="0"/>
      <w:marRight w:val="0"/>
      <w:marTop w:val="0"/>
      <w:marBottom w:val="0"/>
      <w:divBdr>
        <w:top w:val="none" w:sz="0" w:space="0" w:color="auto"/>
        <w:left w:val="none" w:sz="0" w:space="0" w:color="auto"/>
        <w:bottom w:val="none" w:sz="0" w:space="0" w:color="auto"/>
        <w:right w:val="none" w:sz="0" w:space="0" w:color="auto"/>
      </w:divBdr>
    </w:div>
    <w:div w:id="2145730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2.png"/><Relationship Id="rId18" Type="http://schemas.openxmlformats.org/officeDocument/2006/relationships/chart" Target="charts/chart8.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voxeu.org/index.php?q=node/3210" TargetMode="Externa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7.xml"/><Relationship Id="rId25" Type="http://schemas.openxmlformats.org/officeDocument/2006/relationships/hyperlink" Target="http://www.gresham.ac.uk/lectures-and-events/where-have-all-the-financial-risks-gone" TargetMode="Externa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image" Target="media/image6.jpe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hyperlink" Target="http://www.federalreserve.gov/generalinfo/basel2/npr_20060905/npr/section_1.htm"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econpapers.repec.org/RePEc:nbr:nberwo:15223" TargetMode="External"/><Relationship Id="rId28"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3.png"/><Relationship Id="rId22" Type="http://schemas.openxmlformats.org/officeDocument/2006/relationships/hyperlink" Target="http://ideas.repec.org/s/ces/ifofor.html"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federalreserve.gov/GeneralInfo/basel2/DraftNPR/NPR/part_5.htm" TargetMode="External"/><Relationship Id="rId2" Type="http://schemas.openxmlformats.org/officeDocument/2006/relationships/image" Target="media/image1.png"/><Relationship Id="rId1" Type="http://schemas.openxmlformats.org/officeDocument/2006/relationships/hyperlink" Target="http://www.federalreserve.gov/GeneralInfo/basel2/DraftNPR/NPR/part_5.htm#skip_nav#skip_nav"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scher\My%20Documents\SerafinChapterofbook\2009Q2CDSReqto%20RMBS.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Users\COMISEF\Dropbox\SerafinChapterofbook\Sheri2009Q2CDSReqto%20RMBS.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scher\My%20Documents\My%20Dropbox\Segun\Paper%20to%20redo%20charts\Full%20Workings%20RMBS%20CDS-Buy%20and%20ABCPConduits%20all%20CDS%20Banks%20ver%202011-06-13.xls"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6.xml.rels><?xml version="1.0" encoding="UTF-8" standalone="yes"?>
<Relationships xmlns="http://schemas.openxmlformats.org/package/2006/relationships"><Relationship Id="rId1" Type="http://schemas.openxmlformats.org/officeDocument/2006/relationships/oleObject" Target="file:///C:\Users\COMISEF\Dropbox\SerafinChapterofbook\FinalDrafts\6AugCDSRMBSDataAnalysis%20(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COMISEF\Dropbox\Segun\Segun%206AugCDSRMBSDataAnalysi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COMISEF\Dropbox\Segun\Segun%206AugCDSRMBSDataAnaly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barChart>
        <c:barDir val="col"/>
        <c:grouping val="clustered"/>
        <c:ser>
          <c:idx val="0"/>
          <c:order val="0"/>
          <c:tx>
            <c:strRef>
              <c:f>Sheet2!$C$13</c:f>
              <c:strCache>
                <c:ptCount val="1"/>
                <c:pt idx="0">
                  <c:v>Agency MBS</c:v>
                </c:pt>
              </c:strCache>
            </c:strRef>
          </c:tx>
          <c:cat>
            <c:strRef>
              <c:f>Sheet2!$B$14:$B$41</c:f>
              <c:strCache>
                <c:ptCount val="28"/>
                <c:pt idx="0">
                  <c:v>2006</c:v>
                </c:pt>
                <c:pt idx="2">
                  <c:v>2007</c:v>
                </c:pt>
                <c:pt idx="3">
                  <c:v>Q1</c:v>
                </c:pt>
                <c:pt idx="4">
                  <c:v>Q2</c:v>
                </c:pt>
                <c:pt idx="5">
                  <c:v>Q3</c:v>
                </c:pt>
                <c:pt idx="6">
                  <c:v>Q4</c:v>
                </c:pt>
                <c:pt idx="8">
                  <c:v>2008</c:v>
                </c:pt>
                <c:pt idx="9">
                  <c:v>Q1</c:v>
                </c:pt>
                <c:pt idx="10">
                  <c:v>Q2</c:v>
                </c:pt>
                <c:pt idx="11">
                  <c:v>Q3</c:v>
                </c:pt>
                <c:pt idx="12">
                  <c:v>Q4</c:v>
                </c:pt>
                <c:pt idx="14">
                  <c:v>2009</c:v>
                </c:pt>
                <c:pt idx="15">
                  <c:v>Q1</c:v>
                </c:pt>
                <c:pt idx="16">
                  <c:v>Q2</c:v>
                </c:pt>
                <c:pt idx="17">
                  <c:v>Q3</c:v>
                </c:pt>
                <c:pt idx="18">
                  <c:v>Q4</c:v>
                </c:pt>
                <c:pt idx="20">
                  <c:v>2010</c:v>
                </c:pt>
                <c:pt idx="21">
                  <c:v>Q1</c:v>
                </c:pt>
                <c:pt idx="22">
                  <c:v>Q2</c:v>
                </c:pt>
                <c:pt idx="23">
                  <c:v>Q3</c:v>
                </c:pt>
                <c:pt idx="24">
                  <c:v>Q4</c:v>
                </c:pt>
                <c:pt idx="26">
                  <c:v>2011</c:v>
                </c:pt>
                <c:pt idx="27">
                  <c:v>Q1</c:v>
                </c:pt>
              </c:strCache>
            </c:strRef>
          </c:cat>
          <c:val>
            <c:numRef>
              <c:f>Sheet2!$C$14:$C$41</c:f>
              <c:numCache>
                <c:formatCode>General</c:formatCode>
                <c:ptCount val="28"/>
                <c:pt idx="0" formatCode="#,##0.00">
                  <c:v>4459</c:v>
                </c:pt>
                <c:pt idx="3" formatCode="#,##0.00">
                  <c:v>4100.7</c:v>
                </c:pt>
                <c:pt idx="4" formatCode="#,##0.00">
                  <c:v>4232.5</c:v>
                </c:pt>
                <c:pt idx="5" formatCode="#,##0.00">
                  <c:v>4398.3</c:v>
                </c:pt>
                <c:pt idx="6" formatCode="#,##0.00">
                  <c:v>4604.2</c:v>
                </c:pt>
                <c:pt idx="9" formatCode="#,##0.00">
                  <c:v>4740.5</c:v>
                </c:pt>
                <c:pt idx="10" formatCode="#,##0.00">
                  <c:v>4892.9000000000005</c:v>
                </c:pt>
                <c:pt idx="11" formatCode="#,##0.00">
                  <c:v>4981.6000000000004</c:v>
                </c:pt>
                <c:pt idx="12" formatCode="#,##0.00">
                  <c:v>5075.2</c:v>
                </c:pt>
                <c:pt idx="15" formatCode="#,##0.00">
                  <c:v>5154.6000000000004</c:v>
                </c:pt>
                <c:pt idx="16" formatCode="#,##0.00">
                  <c:v>5372.4</c:v>
                </c:pt>
                <c:pt idx="17" formatCode="#,##0.00">
                  <c:v>5508.8</c:v>
                </c:pt>
                <c:pt idx="18" formatCode="#,##0.00">
                  <c:v>5576.5</c:v>
                </c:pt>
                <c:pt idx="21" formatCode="#,##0.00">
                  <c:v>5583.8</c:v>
                </c:pt>
                <c:pt idx="22" formatCode="#,##0.00">
                  <c:v>5468.1</c:v>
                </c:pt>
                <c:pt idx="23" formatCode="#,##0.00">
                  <c:v>5483.1</c:v>
                </c:pt>
                <c:pt idx="24" formatCode="#,##0.00">
                  <c:v>5517.1</c:v>
                </c:pt>
                <c:pt idx="27" formatCode="#,##0.00">
                  <c:v>5516.2</c:v>
                </c:pt>
              </c:numCache>
            </c:numRef>
          </c:val>
        </c:ser>
        <c:ser>
          <c:idx val="1"/>
          <c:order val="1"/>
          <c:tx>
            <c:strRef>
              <c:f>Sheet2!$D$13</c:f>
              <c:strCache>
                <c:ptCount val="1"/>
                <c:pt idx="0">
                  <c:v>Agency CMO</c:v>
                </c:pt>
              </c:strCache>
            </c:strRef>
          </c:tx>
          <c:cat>
            <c:strRef>
              <c:f>Sheet2!$B$14:$B$41</c:f>
              <c:strCache>
                <c:ptCount val="28"/>
                <c:pt idx="0">
                  <c:v>2006</c:v>
                </c:pt>
                <c:pt idx="2">
                  <c:v>2007</c:v>
                </c:pt>
                <c:pt idx="3">
                  <c:v>Q1</c:v>
                </c:pt>
                <c:pt idx="4">
                  <c:v>Q2</c:v>
                </c:pt>
                <c:pt idx="5">
                  <c:v>Q3</c:v>
                </c:pt>
                <c:pt idx="6">
                  <c:v>Q4</c:v>
                </c:pt>
                <c:pt idx="8">
                  <c:v>2008</c:v>
                </c:pt>
                <c:pt idx="9">
                  <c:v>Q1</c:v>
                </c:pt>
                <c:pt idx="10">
                  <c:v>Q2</c:v>
                </c:pt>
                <c:pt idx="11">
                  <c:v>Q3</c:v>
                </c:pt>
                <c:pt idx="12">
                  <c:v>Q4</c:v>
                </c:pt>
                <c:pt idx="14">
                  <c:v>2009</c:v>
                </c:pt>
                <c:pt idx="15">
                  <c:v>Q1</c:v>
                </c:pt>
                <c:pt idx="16">
                  <c:v>Q2</c:v>
                </c:pt>
                <c:pt idx="17">
                  <c:v>Q3</c:v>
                </c:pt>
                <c:pt idx="18">
                  <c:v>Q4</c:v>
                </c:pt>
                <c:pt idx="20">
                  <c:v>2010</c:v>
                </c:pt>
                <c:pt idx="21">
                  <c:v>Q1</c:v>
                </c:pt>
                <c:pt idx="22">
                  <c:v>Q2</c:v>
                </c:pt>
                <c:pt idx="23">
                  <c:v>Q3</c:v>
                </c:pt>
                <c:pt idx="24">
                  <c:v>Q4</c:v>
                </c:pt>
                <c:pt idx="26">
                  <c:v>2011</c:v>
                </c:pt>
                <c:pt idx="27">
                  <c:v>Q1</c:v>
                </c:pt>
              </c:strCache>
            </c:strRef>
          </c:cat>
          <c:val>
            <c:numRef>
              <c:f>Sheet2!$D$14:$D$41</c:f>
              <c:numCache>
                <c:formatCode>General</c:formatCode>
                <c:ptCount val="28"/>
                <c:pt idx="0" formatCode="#,##0.00">
                  <c:v>1254.0999999999999</c:v>
                </c:pt>
                <c:pt idx="3" formatCode="#,##0.00">
                  <c:v>1270.0999999999999</c:v>
                </c:pt>
                <c:pt idx="4" formatCode="#,##0.00">
                  <c:v>1343.2</c:v>
                </c:pt>
                <c:pt idx="5" formatCode="#,##0.00">
                  <c:v>1349.6</c:v>
                </c:pt>
                <c:pt idx="6" formatCode="#,##0.00">
                  <c:v>1343.5</c:v>
                </c:pt>
                <c:pt idx="9" formatCode="#,##0.00">
                  <c:v>1354.5</c:v>
                </c:pt>
                <c:pt idx="10" formatCode="#,##0.00">
                  <c:v>1335.9</c:v>
                </c:pt>
                <c:pt idx="11" formatCode="#,##0.00">
                  <c:v>1341.7</c:v>
                </c:pt>
                <c:pt idx="12" formatCode="#,##0.00">
                  <c:v>1308.5</c:v>
                </c:pt>
                <c:pt idx="15" formatCode="#,##0.00">
                  <c:v>1269.7</c:v>
                </c:pt>
                <c:pt idx="16" formatCode="#,##0.00">
                  <c:v>1250.9000000000001</c:v>
                </c:pt>
                <c:pt idx="17" formatCode="#,##0.00">
                  <c:v>1269.9000000000001</c:v>
                </c:pt>
                <c:pt idx="18" formatCode="#,##0.00">
                  <c:v>1257.9000000000001</c:v>
                </c:pt>
                <c:pt idx="21" formatCode="#,##0.00">
                  <c:v>1271.5</c:v>
                </c:pt>
                <c:pt idx="22" formatCode="#,##0.00">
                  <c:v>1270.4000000000001</c:v>
                </c:pt>
                <c:pt idx="23" formatCode="#,##0.00">
                  <c:v>1301.9000000000001</c:v>
                </c:pt>
                <c:pt idx="24" formatCode="#,##0.00">
                  <c:v>1322.9</c:v>
                </c:pt>
                <c:pt idx="27" formatCode="#,##0.00">
                  <c:v>1338</c:v>
                </c:pt>
              </c:numCache>
            </c:numRef>
          </c:val>
        </c:ser>
        <c:ser>
          <c:idx val="2"/>
          <c:order val="2"/>
          <c:tx>
            <c:strRef>
              <c:f>Sheet2!$E$13</c:f>
              <c:strCache>
                <c:ptCount val="1"/>
                <c:pt idx="0">
                  <c:v>Non-Agency</c:v>
                </c:pt>
              </c:strCache>
            </c:strRef>
          </c:tx>
          <c:cat>
            <c:strRef>
              <c:f>Sheet2!$B$14:$B$41</c:f>
              <c:strCache>
                <c:ptCount val="28"/>
                <c:pt idx="0">
                  <c:v>2006</c:v>
                </c:pt>
                <c:pt idx="2">
                  <c:v>2007</c:v>
                </c:pt>
                <c:pt idx="3">
                  <c:v>Q1</c:v>
                </c:pt>
                <c:pt idx="4">
                  <c:v>Q2</c:v>
                </c:pt>
                <c:pt idx="5">
                  <c:v>Q3</c:v>
                </c:pt>
                <c:pt idx="6">
                  <c:v>Q4</c:v>
                </c:pt>
                <c:pt idx="8">
                  <c:v>2008</c:v>
                </c:pt>
                <c:pt idx="9">
                  <c:v>Q1</c:v>
                </c:pt>
                <c:pt idx="10">
                  <c:v>Q2</c:v>
                </c:pt>
                <c:pt idx="11">
                  <c:v>Q3</c:v>
                </c:pt>
                <c:pt idx="12">
                  <c:v>Q4</c:v>
                </c:pt>
                <c:pt idx="14">
                  <c:v>2009</c:v>
                </c:pt>
                <c:pt idx="15">
                  <c:v>Q1</c:v>
                </c:pt>
                <c:pt idx="16">
                  <c:v>Q2</c:v>
                </c:pt>
                <c:pt idx="17">
                  <c:v>Q3</c:v>
                </c:pt>
                <c:pt idx="18">
                  <c:v>Q4</c:v>
                </c:pt>
                <c:pt idx="20">
                  <c:v>2010</c:v>
                </c:pt>
                <c:pt idx="21">
                  <c:v>Q1</c:v>
                </c:pt>
                <c:pt idx="22">
                  <c:v>Q2</c:v>
                </c:pt>
                <c:pt idx="23">
                  <c:v>Q3</c:v>
                </c:pt>
                <c:pt idx="24">
                  <c:v>Q4</c:v>
                </c:pt>
                <c:pt idx="26">
                  <c:v>2011</c:v>
                </c:pt>
                <c:pt idx="27">
                  <c:v>Q1</c:v>
                </c:pt>
              </c:strCache>
            </c:strRef>
          </c:cat>
          <c:val>
            <c:numRef>
              <c:f>Sheet2!$E$14:$E$41</c:f>
              <c:numCache>
                <c:formatCode>General</c:formatCode>
                <c:ptCount val="28"/>
                <c:pt idx="0" formatCode="#,##0.00">
                  <c:v>2922.3</c:v>
                </c:pt>
                <c:pt idx="3" formatCode="#,##0.00">
                  <c:v>3045.5</c:v>
                </c:pt>
                <c:pt idx="4" formatCode="#,##0.00">
                  <c:v>3197.8</c:v>
                </c:pt>
                <c:pt idx="5" formatCode="#,##0.00">
                  <c:v>3223.5</c:v>
                </c:pt>
                <c:pt idx="6" formatCode="#,##0.00">
                  <c:v>3195</c:v>
                </c:pt>
                <c:pt idx="9" formatCode="#,##0.00">
                  <c:v>3102.9</c:v>
                </c:pt>
                <c:pt idx="10" formatCode="#,##0.00">
                  <c:v>2903.1</c:v>
                </c:pt>
                <c:pt idx="11" formatCode="#,##0.00">
                  <c:v>2800.2</c:v>
                </c:pt>
                <c:pt idx="12" formatCode="#,##0.00">
                  <c:v>2718.2</c:v>
                </c:pt>
                <c:pt idx="15" formatCode="#,##0.00">
                  <c:v>2637.8</c:v>
                </c:pt>
                <c:pt idx="16" formatCode="#,##0.00">
                  <c:v>2530.5</c:v>
                </c:pt>
                <c:pt idx="17" formatCode="#,##0.00">
                  <c:v>2437.1999999999998</c:v>
                </c:pt>
                <c:pt idx="18" formatCode="#,##0.00">
                  <c:v>2353.1999999999998</c:v>
                </c:pt>
                <c:pt idx="21" formatCode="#,##0.00">
                  <c:v>2278.1</c:v>
                </c:pt>
                <c:pt idx="22" formatCode="#,##0.00">
                  <c:v>2202.6</c:v>
                </c:pt>
                <c:pt idx="23" formatCode="#,##0.00">
                  <c:v>2108.6999999999998</c:v>
                </c:pt>
                <c:pt idx="24" formatCode="#,##0.00">
                  <c:v>2071.6</c:v>
                </c:pt>
                <c:pt idx="27" formatCode="#,##0.00">
                  <c:v>1997.9</c:v>
                </c:pt>
              </c:numCache>
            </c:numRef>
          </c:val>
        </c:ser>
        <c:ser>
          <c:idx val="3"/>
          <c:order val="3"/>
          <c:tx>
            <c:strRef>
              <c:f>Sheet2!$F$13</c:f>
              <c:strCache>
                <c:ptCount val="1"/>
                <c:pt idx="0">
                  <c:v>Total</c:v>
                </c:pt>
              </c:strCache>
            </c:strRef>
          </c:tx>
          <c:cat>
            <c:strRef>
              <c:f>Sheet2!$B$14:$B$41</c:f>
              <c:strCache>
                <c:ptCount val="28"/>
                <c:pt idx="0">
                  <c:v>2006</c:v>
                </c:pt>
                <c:pt idx="2">
                  <c:v>2007</c:v>
                </c:pt>
                <c:pt idx="3">
                  <c:v>Q1</c:v>
                </c:pt>
                <c:pt idx="4">
                  <c:v>Q2</c:v>
                </c:pt>
                <c:pt idx="5">
                  <c:v>Q3</c:v>
                </c:pt>
                <c:pt idx="6">
                  <c:v>Q4</c:v>
                </c:pt>
                <c:pt idx="8">
                  <c:v>2008</c:v>
                </c:pt>
                <c:pt idx="9">
                  <c:v>Q1</c:v>
                </c:pt>
                <c:pt idx="10">
                  <c:v>Q2</c:v>
                </c:pt>
                <c:pt idx="11">
                  <c:v>Q3</c:v>
                </c:pt>
                <c:pt idx="12">
                  <c:v>Q4</c:v>
                </c:pt>
                <c:pt idx="14">
                  <c:v>2009</c:v>
                </c:pt>
                <c:pt idx="15">
                  <c:v>Q1</c:v>
                </c:pt>
                <c:pt idx="16">
                  <c:v>Q2</c:v>
                </c:pt>
                <c:pt idx="17">
                  <c:v>Q3</c:v>
                </c:pt>
                <c:pt idx="18">
                  <c:v>Q4</c:v>
                </c:pt>
                <c:pt idx="20">
                  <c:v>2010</c:v>
                </c:pt>
                <c:pt idx="21">
                  <c:v>Q1</c:v>
                </c:pt>
                <c:pt idx="22">
                  <c:v>Q2</c:v>
                </c:pt>
                <c:pt idx="23">
                  <c:v>Q3</c:v>
                </c:pt>
                <c:pt idx="24">
                  <c:v>Q4</c:v>
                </c:pt>
                <c:pt idx="26">
                  <c:v>2011</c:v>
                </c:pt>
                <c:pt idx="27">
                  <c:v>Q1</c:v>
                </c:pt>
              </c:strCache>
            </c:strRef>
          </c:cat>
          <c:val>
            <c:numRef>
              <c:f>Sheet2!$F$14:$F$41</c:f>
              <c:numCache>
                <c:formatCode>General</c:formatCode>
                <c:ptCount val="28"/>
                <c:pt idx="0" formatCode="#,##0.00">
                  <c:v>8635.4</c:v>
                </c:pt>
                <c:pt idx="3" formatCode="#,##0.00">
                  <c:v>8416.2999999999811</c:v>
                </c:pt>
                <c:pt idx="4" formatCode="#,##0.00">
                  <c:v>8773.5</c:v>
                </c:pt>
                <c:pt idx="5" formatCode="#,##0.00">
                  <c:v>8971.4</c:v>
                </c:pt>
                <c:pt idx="6" formatCode="#,##0.00">
                  <c:v>9142.7000000000007</c:v>
                </c:pt>
                <c:pt idx="9" formatCode="#,##0.00">
                  <c:v>9197.9</c:v>
                </c:pt>
                <c:pt idx="10" formatCode="#,##0.00">
                  <c:v>9131.9</c:v>
                </c:pt>
                <c:pt idx="11" formatCode="#,##0.00">
                  <c:v>9123.5</c:v>
                </c:pt>
                <c:pt idx="12" formatCode="#,##0.00">
                  <c:v>9101.9</c:v>
                </c:pt>
                <c:pt idx="15" formatCode="#,##0.00">
                  <c:v>9062.1</c:v>
                </c:pt>
                <c:pt idx="16" formatCode="#,##0.00">
                  <c:v>9153.9</c:v>
                </c:pt>
                <c:pt idx="17" formatCode="#,##0.00">
                  <c:v>9215.9</c:v>
                </c:pt>
                <c:pt idx="18" formatCode="#,##0.00">
                  <c:v>9187.7000000000007</c:v>
                </c:pt>
                <c:pt idx="21" formatCode="#,##0.00">
                  <c:v>9133.4</c:v>
                </c:pt>
                <c:pt idx="22" formatCode="#,##0.00">
                  <c:v>8941.2000000000007</c:v>
                </c:pt>
                <c:pt idx="23" formatCode="#,##0.00">
                  <c:v>8893.7000000000007</c:v>
                </c:pt>
                <c:pt idx="24" formatCode="#,##0.00">
                  <c:v>8911.5</c:v>
                </c:pt>
                <c:pt idx="27" formatCode="#,##0.00">
                  <c:v>8852.1</c:v>
                </c:pt>
              </c:numCache>
            </c:numRef>
          </c:val>
        </c:ser>
        <c:gapWidth val="75"/>
        <c:overlap val="-25"/>
        <c:axId val="153775104"/>
        <c:axId val="153777280"/>
      </c:barChart>
      <c:catAx>
        <c:axId val="153775104"/>
        <c:scaling>
          <c:orientation val="minMax"/>
        </c:scaling>
        <c:axPos val="b"/>
        <c:majorTickMark val="none"/>
        <c:tickLblPos val="nextTo"/>
        <c:crossAx val="153777280"/>
        <c:crosses val="autoZero"/>
        <c:auto val="1"/>
        <c:lblAlgn val="ctr"/>
        <c:lblOffset val="100"/>
      </c:catAx>
      <c:valAx>
        <c:axId val="153777280"/>
        <c:scaling>
          <c:orientation val="minMax"/>
        </c:scaling>
        <c:axPos val="l"/>
        <c:majorGridlines/>
        <c:numFmt formatCode="#,##0.00" sourceLinked="1"/>
        <c:majorTickMark val="none"/>
        <c:tickLblPos val="nextTo"/>
        <c:spPr>
          <a:ln w="9525">
            <a:noFill/>
          </a:ln>
        </c:spPr>
        <c:crossAx val="153775104"/>
        <c:crosses val="autoZero"/>
        <c:crossBetween val="between"/>
      </c:valAx>
    </c:plotArea>
    <c:legend>
      <c:legendPos val="b"/>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Sheet2!$C$115</c:f>
              <c:strCache>
                <c:ptCount val="1"/>
                <c:pt idx="0">
                  <c:v> Arbitrage</c:v>
                </c:pt>
              </c:strCache>
            </c:strRef>
          </c:tx>
          <c:cat>
            <c:multiLvlStrRef>
              <c:f>Sheet2!$A$116:$B$145</c:f>
              <c:multiLvlStrCache>
                <c:ptCount val="29"/>
                <c:lvl>
                  <c:pt idx="0">
                    <c:v>Q1</c:v>
                  </c:pt>
                  <c:pt idx="1">
                    <c:v>Q2</c:v>
                  </c:pt>
                  <c:pt idx="2">
                    <c:v>Q3</c:v>
                  </c:pt>
                  <c:pt idx="3">
                    <c:v>Q4</c:v>
                  </c:pt>
                  <c:pt idx="5">
                    <c:v>Q1</c:v>
                  </c:pt>
                  <c:pt idx="6">
                    <c:v>Q2</c:v>
                  </c:pt>
                  <c:pt idx="7">
                    <c:v>Q3</c:v>
                  </c:pt>
                  <c:pt idx="8">
                    <c:v>Q4</c:v>
                  </c:pt>
                  <c:pt idx="10">
                    <c:v>Q1</c:v>
                  </c:pt>
                  <c:pt idx="11">
                    <c:v>Q2</c:v>
                  </c:pt>
                  <c:pt idx="12">
                    <c:v>Q3</c:v>
                  </c:pt>
                  <c:pt idx="13">
                    <c:v>Q4</c:v>
                  </c:pt>
                  <c:pt idx="15">
                    <c:v>Q1</c:v>
                  </c:pt>
                  <c:pt idx="16">
                    <c:v>Q2</c:v>
                  </c:pt>
                  <c:pt idx="17">
                    <c:v>Q3</c:v>
                  </c:pt>
                  <c:pt idx="18">
                    <c:v>Q4</c:v>
                  </c:pt>
                  <c:pt idx="20">
                    <c:v>Q1</c:v>
                  </c:pt>
                  <c:pt idx="21">
                    <c:v>Q2</c:v>
                  </c:pt>
                  <c:pt idx="22">
                    <c:v>Q3</c:v>
                  </c:pt>
                  <c:pt idx="23">
                    <c:v>Q4</c:v>
                  </c:pt>
                  <c:pt idx="25">
                    <c:v>Q1</c:v>
                  </c:pt>
                  <c:pt idx="26">
                    <c:v>Q2</c:v>
                  </c:pt>
                  <c:pt idx="27">
                    <c:v>Q3</c:v>
                  </c:pt>
                  <c:pt idx="28">
                    <c:v>Q4</c:v>
                  </c:pt>
                </c:lvl>
                <c:lvl>
                  <c:pt idx="0">
                    <c:v>2005</c:v>
                  </c:pt>
                  <c:pt idx="5">
                    <c:v>2006</c:v>
                  </c:pt>
                  <c:pt idx="10">
                    <c:v>2007</c:v>
                  </c:pt>
                  <c:pt idx="15">
                    <c:v>2008</c:v>
                  </c:pt>
                  <c:pt idx="20">
                    <c:v>2009</c:v>
                  </c:pt>
                  <c:pt idx="25">
                    <c:v>2010</c:v>
                  </c:pt>
                </c:lvl>
              </c:multiLvlStrCache>
            </c:multiLvlStrRef>
          </c:cat>
          <c:val>
            <c:numRef>
              <c:f>Sheet2!$C$116:$C$145</c:f>
              <c:numCache>
                <c:formatCode>#,##0.00</c:formatCode>
                <c:ptCount val="30"/>
                <c:pt idx="0">
                  <c:v>42153.4</c:v>
                </c:pt>
                <c:pt idx="1">
                  <c:v>51064.7</c:v>
                </c:pt>
                <c:pt idx="2">
                  <c:v>48625.8</c:v>
                </c:pt>
                <c:pt idx="3">
                  <c:v>71462.5</c:v>
                </c:pt>
                <c:pt idx="5">
                  <c:v>87725.7</c:v>
                </c:pt>
                <c:pt idx="6">
                  <c:v>102935.4</c:v>
                </c:pt>
                <c:pt idx="7">
                  <c:v>125078.1</c:v>
                </c:pt>
                <c:pt idx="8">
                  <c:v>139231.6</c:v>
                </c:pt>
                <c:pt idx="10">
                  <c:v>153290.9</c:v>
                </c:pt>
                <c:pt idx="11">
                  <c:v>155290.79999999999</c:v>
                </c:pt>
                <c:pt idx="12">
                  <c:v>85493.4</c:v>
                </c:pt>
                <c:pt idx="13">
                  <c:v>37787.300000000003</c:v>
                </c:pt>
                <c:pt idx="15">
                  <c:v>18607.099999999897</c:v>
                </c:pt>
                <c:pt idx="16">
                  <c:v>15431.1</c:v>
                </c:pt>
                <c:pt idx="17">
                  <c:v>10078.4</c:v>
                </c:pt>
                <c:pt idx="18">
                  <c:v>3821.4</c:v>
                </c:pt>
                <c:pt idx="20" formatCode="General">
                  <c:v>658.7</c:v>
                </c:pt>
                <c:pt idx="21">
                  <c:v>1886.4</c:v>
                </c:pt>
                <c:pt idx="22" formatCode="General">
                  <c:v>208.7</c:v>
                </c:pt>
                <c:pt idx="23" formatCode="General">
                  <c:v>689.5</c:v>
                </c:pt>
                <c:pt idx="26" formatCode="General">
                  <c:v>617.70000000000005</c:v>
                </c:pt>
                <c:pt idx="27">
                  <c:v>2002.7</c:v>
                </c:pt>
                <c:pt idx="28" formatCode="General">
                  <c:v>610.6</c:v>
                </c:pt>
              </c:numCache>
            </c:numRef>
          </c:val>
        </c:ser>
        <c:ser>
          <c:idx val="1"/>
          <c:order val="1"/>
          <c:tx>
            <c:strRef>
              <c:f>Sheet2!$D$115</c:f>
              <c:strCache>
                <c:ptCount val="1"/>
                <c:pt idx="0">
                  <c:v> Balance Sheet</c:v>
                </c:pt>
              </c:strCache>
            </c:strRef>
          </c:tx>
          <c:cat>
            <c:multiLvlStrRef>
              <c:f>Sheet2!$A$116:$B$145</c:f>
              <c:multiLvlStrCache>
                <c:ptCount val="29"/>
                <c:lvl>
                  <c:pt idx="0">
                    <c:v>Q1</c:v>
                  </c:pt>
                  <c:pt idx="1">
                    <c:v>Q2</c:v>
                  </c:pt>
                  <c:pt idx="2">
                    <c:v>Q3</c:v>
                  </c:pt>
                  <c:pt idx="3">
                    <c:v>Q4</c:v>
                  </c:pt>
                  <c:pt idx="5">
                    <c:v>Q1</c:v>
                  </c:pt>
                  <c:pt idx="6">
                    <c:v>Q2</c:v>
                  </c:pt>
                  <c:pt idx="7">
                    <c:v>Q3</c:v>
                  </c:pt>
                  <c:pt idx="8">
                    <c:v>Q4</c:v>
                  </c:pt>
                  <c:pt idx="10">
                    <c:v>Q1</c:v>
                  </c:pt>
                  <c:pt idx="11">
                    <c:v>Q2</c:v>
                  </c:pt>
                  <c:pt idx="12">
                    <c:v>Q3</c:v>
                  </c:pt>
                  <c:pt idx="13">
                    <c:v>Q4</c:v>
                  </c:pt>
                  <c:pt idx="15">
                    <c:v>Q1</c:v>
                  </c:pt>
                  <c:pt idx="16">
                    <c:v>Q2</c:v>
                  </c:pt>
                  <c:pt idx="17">
                    <c:v>Q3</c:v>
                  </c:pt>
                  <c:pt idx="18">
                    <c:v>Q4</c:v>
                  </c:pt>
                  <c:pt idx="20">
                    <c:v>Q1</c:v>
                  </c:pt>
                  <c:pt idx="21">
                    <c:v>Q2</c:v>
                  </c:pt>
                  <c:pt idx="22">
                    <c:v>Q3</c:v>
                  </c:pt>
                  <c:pt idx="23">
                    <c:v>Q4</c:v>
                  </c:pt>
                  <c:pt idx="25">
                    <c:v>Q1</c:v>
                  </c:pt>
                  <c:pt idx="26">
                    <c:v>Q2</c:v>
                  </c:pt>
                  <c:pt idx="27">
                    <c:v>Q3</c:v>
                  </c:pt>
                  <c:pt idx="28">
                    <c:v>Q4</c:v>
                  </c:pt>
                </c:lvl>
                <c:lvl>
                  <c:pt idx="0">
                    <c:v>2005</c:v>
                  </c:pt>
                  <c:pt idx="5">
                    <c:v>2006</c:v>
                  </c:pt>
                  <c:pt idx="10">
                    <c:v>2007</c:v>
                  </c:pt>
                  <c:pt idx="15">
                    <c:v>2008</c:v>
                  </c:pt>
                  <c:pt idx="20">
                    <c:v>2009</c:v>
                  </c:pt>
                  <c:pt idx="25">
                    <c:v>2010</c:v>
                  </c:pt>
                </c:lvl>
              </c:multiLvlStrCache>
            </c:multiLvlStrRef>
          </c:cat>
          <c:val>
            <c:numRef>
              <c:f>Sheet2!$D$116:$D$145</c:f>
              <c:numCache>
                <c:formatCode>#,##0.00</c:formatCode>
                <c:ptCount val="30"/>
                <c:pt idx="0">
                  <c:v>5851.4</c:v>
                </c:pt>
                <c:pt idx="1">
                  <c:v>9400.2000000000007</c:v>
                </c:pt>
                <c:pt idx="2">
                  <c:v>2358.6999999999998</c:v>
                </c:pt>
                <c:pt idx="3">
                  <c:v>20348.599999999897</c:v>
                </c:pt>
                <c:pt idx="5">
                  <c:v>7022.6</c:v>
                </c:pt>
                <c:pt idx="6">
                  <c:v>17088.5</c:v>
                </c:pt>
                <c:pt idx="7">
                  <c:v>10919.3</c:v>
                </c:pt>
                <c:pt idx="8">
                  <c:v>30643.4</c:v>
                </c:pt>
                <c:pt idx="10">
                  <c:v>13235.7</c:v>
                </c:pt>
                <c:pt idx="11">
                  <c:v>23328.9</c:v>
                </c:pt>
                <c:pt idx="12">
                  <c:v>7214.6</c:v>
                </c:pt>
                <c:pt idx="13">
                  <c:v>5959.1</c:v>
                </c:pt>
                <c:pt idx="15">
                  <c:v>1294.5999999999999</c:v>
                </c:pt>
                <c:pt idx="16">
                  <c:v>6561.4</c:v>
                </c:pt>
                <c:pt idx="17">
                  <c:v>4255</c:v>
                </c:pt>
                <c:pt idx="18">
                  <c:v>1837.8</c:v>
                </c:pt>
                <c:pt idx="20" formatCode="General">
                  <c:v>99.5</c:v>
                </c:pt>
                <c:pt idx="22" formatCode="General">
                  <c:v>363.5</c:v>
                </c:pt>
                <c:pt idx="23" formatCode="General">
                  <c:v>429.7</c:v>
                </c:pt>
                <c:pt idx="25">
                  <c:v>2420.6999999999998</c:v>
                </c:pt>
                <c:pt idx="26">
                  <c:v>1057.7</c:v>
                </c:pt>
                <c:pt idx="28" formatCode="General">
                  <c:v>972.7</c:v>
                </c:pt>
              </c:numCache>
            </c:numRef>
          </c:val>
        </c:ser>
        <c:ser>
          <c:idx val="2"/>
          <c:order val="2"/>
          <c:tx>
            <c:strRef>
              <c:f>Sheet2!$E$115</c:f>
              <c:strCache>
                <c:ptCount val="1"/>
                <c:pt idx="0">
                  <c:v>Total</c:v>
                </c:pt>
              </c:strCache>
            </c:strRef>
          </c:tx>
          <c:cat>
            <c:multiLvlStrRef>
              <c:f>Sheet2!$A$116:$B$145</c:f>
              <c:multiLvlStrCache>
                <c:ptCount val="29"/>
                <c:lvl>
                  <c:pt idx="0">
                    <c:v>Q1</c:v>
                  </c:pt>
                  <c:pt idx="1">
                    <c:v>Q2</c:v>
                  </c:pt>
                  <c:pt idx="2">
                    <c:v>Q3</c:v>
                  </c:pt>
                  <c:pt idx="3">
                    <c:v>Q4</c:v>
                  </c:pt>
                  <c:pt idx="5">
                    <c:v>Q1</c:v>
                  </c:pt>
                  <c:pt idx="6">
                    <c:v>Q2</c:v>
                  </c:pt>
                  <c:pt idx="7">
                    <c:v>Q3</c:v>
                  </c:pt>
                  <c:pt idx="8">
                    <c:v>Q4</c:v>
                  </c:pt>
                  <c:pt idx="10">
                    <c:v>Q1</c:v>
                  </c:pt>
                  <c:pt idx="11">
                    <c:v>Q2</c:v>
                  </c:pt>
                  <c:pt idx="12">
                    <c:v>Q3</c:v>
                  </c:pt>
                  <c:pt idx="13">
                    <c:v>Q4</c:v>
                  </c:pt>
                  <c:pt idx="15">
                    <c:v>Q1</c:v>
                  </c:pt>
                  <c:pt idx="16">
                    <c:v>Q2</c:v>
                  </c:pt>
                  <c:pt idx="17">
                    <c:v>Q3</c:v>
                  </c:pt>
                  <c:pt idx="18">
                    <c:v>Q4</c:v>
                  </c:pt>
                  <c:pt idx="20">
                    <c:v>Q1</c:v>
                  </c:pt>
                  <c:pt idx="21">
                    <c:v>Q2</c:v>
                  </c:pt>
                  <c:pt idx="22">
                    <c:v>Q3</c:v>
                  </c:pt>
                  <c:pt idx="23">
                    <c:v>Q4</c:v>
                  </c:pt>
                  <c:pt idx="25">
                    <c:v>Q1</c:v>
                  </c:pt>
                  <c:pt idx="26">
                    <c:v>Q2</c:v>
                  </c:pt>
                  <c:pt idx="27">
                    <c:v>Q3</c:v>
                  </c:pt>
                  <c:pt idx="28">
                    <c:v>Q4</c:v>
                  </c:pt>
                </c:lvl>
                <c:lvl>
                  <c:pt idx="0">
                    <c:v>2005</c:v>
                  </c:pt>
                  <c:pt idx="5">
                    <c:v>2006</c:v>
                  </c:pt>
                  <c:pt idx="10">
                    <c:v>2007</c:v>
                  </c:pt>
                  <c:pt idx="15">
                    <c:v>2008</c:v>
                  </c:pt>
                  <c:pt idx="20">
                    <c:v>2009</c:v>
                  </c:pt>
                  <c:pt idx="25">
                    <c:v>2010</c:v>
                  </c:pt>
                </c:lvl>
              </c:multiLvlStrCache>
            </c:multiLvlStrRef>
          </c:cat>
          <c:val>
            <c:numRef>
              <c:f>Sheet2!$E$116:$E$145</c:f>
              <c:numCache>
                <c:formatCode>#,##0.00</c:formatCode>
                <c:ptCount val="30"/>
                <c:pt idx="0">
                  <c:v>48004.800000000003</c:v>
                </c:pt>
                <c:pt idx="1">
                  <c:v>60464.9</c:v>
                </c:pt>
                <c:pt idx="2">
                  <c:v>50984.5</c:v>
                </c:pt>
                <c:pt idx="3">
                  <c:v>91811.1</c:v>
                </c:pt>
                <c:pt idx="5">
                  <c:v>94748.3</c:v>
                </c:pt>
                <c:pt idx="6">
                  <c:v>120023.9</c:v>
                </c:pt>
                <c:pt idx="7">
                  <c:v>135997.4</c:v>
                </c:pt>
                <c:pt idx="8">
                  <c:v>169875</c:v>
                </c:pt>
                <c:pt idx="10">
                  <c:v>166526.6</c:v>
                </c:pt>
                <c:pt idx="11">
                  <c:v>178619.7</c:v>
                </c:pt>
                <c:pt idx="12">
                  <c:v>92708</c:v>
                </c:pt>
                <c:pt idx="13">
                  <c:v>43746.400000000001</c:v>
                </c:pt>
                <c:pt idx="15">
                  <c:v>19901.7</c:v>
                </c:pt>
                <c:pt idx="16">
                  <c:v>21992.5</c:v>
                </c:pt>
                <c:pt idx="17">
                  <c:v>14333.4</c:v>
                </c:pt>
                <c:pt idx="18">
                  <c:v>5659.2</c:v>
                </c:pt>
                <c:pt idx="20" formatCode="General">
                  <c:v>758.2</c:v>
                </c:pt>
                <c:pt idx="21">
                  <c:v>1886.4</c:v>
                </c:pt>
                <c:pt idx="22" formatCode="General">
                  <c:v>572.20000000000005</c:v>
                </c:pt>
                <c:pt idx="23">
                  <c:v>1119.2</c:v>
                </c:pt>
                <c:pt idx="25">
                  <c:v>2420.6999999999998</c:v>
                </c:pt>
                <c:pt idx="26">
                  <c:v>1675.4</c:v>
                </c:pt>
                <c:pt idx="27">
                  <c:v>2002.7</c:v>
                </c:pt>
                <c:pt idx="28">
                  <c:v>1583.3</c:v>
                </c:pt>
              </c:numCache>
            </c:numRef>
          </c:val>
        </c:ser>
        <c:gapWidth val="75"/>
        <c:overlap val="-25"/>
        <c:axId val="153825280"/>
        <c:axId val="176046080"/>
      </c:barChart>
      <c:catAx>
        <c:axId val="153825280"/>
        <c:scaling>
          <c:orientation val="minMax"/>
        </c:scaling>
        <c:axPos val="b"/>
        <c:majorTickMark val="none"/>
        <c:tickLblPos val="nextTo"/>
        <c:crossAx val="176046080"/>
        <c:crosses val="autoZero"/>
        <c:auto val="1"/>
        <c:lblAlgn val="ctr"/>
        <c:lblOffset val="100"/>
      </c:catAx>
      <c:valAx>
        <c:axId val="176046080"/>
        <c:scaling>
          <c:orientation val="minMax"/>
        </c:scaling>
        <c:axPos val="l"/>
        <c:majorGridlines/>
        <c:numFmt formatCode="#,##0.00" sourceLinked="1"/>
        <c:majorTickMark val="none"/>
        <c:tickLblPos val="nextTo"/>
        <c:spPr>
          <a:ln w="9525">
            <a:noFill/>
          </a:ln>
        </c:spPr>
        <c:crossAx val="153825280"/>
        <c:crosses val="autoZero"/>
        <c:crossBetween val="between"/>
      </c:valAx>
    </c:plotArea>
    <c:legend>
      <c:legendPos val="b"/>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8.5544397334948744E-2"/>
          <c:y val="6.1712254521644985E-2"/>
          <c:w val="0.74791029678983323"/>
          <c:h val="0.86826215905401749"/>
        </c:manualLayout>
      </c:layout>
      <c:lineChart>
        <c:grouping val="standard"/>
        <c:ser>
          <c:idx val="0"/>
          <c:order val="0"/>
          <c:tx>
            <c:strRef>
              <c:f>'2009Q2 to 2010Q4 CrdDev4reg'!$A$2</c:f>
              <c:strCache>
                <c:ptCount val="1"/>
                <c:pt idx="0">
                  <c:v>JPMORGAN CHASE BANK</c:v>
                </c:pt>
              </c:strCache>
            </c:strRef>
          </c:tx>
          <c:marker>
            <c:symbol val="none"/>
          </c:marker>
          <c:cat>
            <c:strRef>
              <c:f>'2009Q2 to 2010Q4 CrdDev4reg'!$C$1:$G$1</c:f>
              <c:strCache>
                <c:ptCount val="5"/>
                <c:pt idx="0">
                  <c:v>2009Q2</c:v>
                </c:pt>
                <c:pt idx="1">
                  <c:v>2009Q3</c:v>
                </c:pt>
                <c:pt idx="2">
                  <c:v>2009Q4</c:v>
                </c:pt>
                <c:pt idx="3">
                  <c:v>2010Q1</c:v>
                </c:pt>
                <c:pt idx="4">
                  <c:v>2010Q2</c:v>
                </c:pt>
              </c:strCache>
            </c:strRef>
          </c:cat>
          <c:val>
            <c:numRef>
              <c:f>'2009Q2 to 2010Q4 CrdDev4reg'!$C$2:$G$2</c:f>
              <c:numCache>
                <c:formatCode>_-* #,##0.00_-;\-* #,##0.00_-;_-* "-"??_-;_-@_-</c:formatCode>
                <c:ptCount val="5"/>
                <c:pt idx="0">
                  <c:v>53951000</c:v>
                </c:pt>
                <c:pt idx="1">
                  <c:v>47477000</c:v>
                </c:pt>
                <c:pt idx="2">
                  <c:v>31289000</c:v>
                </c:pt>
                <c:pt idx="3">
                  <c:v>28221000</c:v>
                </c:pt>
                <c:pt idx="4">
                  <c:v>13967000</c:v>
                </c:pt>
              </c:numCache>
            </c:numRef>
          </c:val>
        </c:ser>
        <c:ser>
          <c:idx val="1"/>
          <c:order val="1"/>
          <c:tx>
            <c:strRef>
              <c:f>'2009Q2 to 2010Q4 CrdDev4reg'!$A$3</c:f>
              <c:strCache>
                <c:ptCount val="1"/>
                <c:pt idx="0">
                  <c:v>CITIBANK, N.A.</c:v>
                </c:pt>
              </c:strCache>
            </c:strRef>
          </c:tx>
          <c:marker>
            <c:symbol val="none"/>
          </c:marker>
          <c:cat>
            <c:strRef>
              <c:f>'2009Q2 to 2010Q4 CrdDev4reg'!$C$1:$G$1</c:f>
              <c:strCache>
                <c:ptCount val="5"/>
                <c:pt idx="0">
                  <c:v>2009Q2</c:v>
                </c:pt>
                <c:pt idx="1">
                  <c:v>2009Q3</c:v>
                </c:pt>
                <c:pt idx="2">
                  <c:v>2009Q4</c:v>
                </c:pt>
                <c:pt idx="3">
                  <c:v>2010Q1</c:v>
                </c:pt>
                <c:pt idx="4">
                  <c:v>2010Q2</c:v>
                </c:pt>
              </c:strCache>
            </c:strRef>
          </c:cat>
          <c:val>
            <c:numRef>
              <c:f>'2009Q2 to 2010Q4 CrdDev4reg'!$C$3:$G$3</c:f>
              <c:numCache>
                <c:formatCode>_-* #,##0.00_-;\-* #,##0.00_-;_-* "-"??_-;_-@_-</c:formatCode>
                <c:ptCount val="5"/>
                <c:pt idx="0">
                  <c:v>21868000</c:v>
                </c:pt>
                <c:pt idx="1">
                  <c:v>22347000</c:v>
                </c:pt>
                <c:pt idx="2">
                  <c:v>22368000</c:v>
                </c:pt>
                <c:pt idx="3">
                  <c:v>19509000</c:v>
                </c:pt>
                <c:pt idx="4">
                  <c:v>17783000</c:v>
                </c:pt>
              </c:numCache>
            </c:numRef>
          </c:val>
        </c:ser>
        <c:ser>
          <c:idx val="2"/>
          <c:order val="2"/>
          <c:tx>
            <c:strRef>
              <c:f>'2009Q2 to 2010Q4 CrdDev4reg'!$A$4</c:f>
              <c:strCache>
                <c:ptCount val="1"/>
                <c:pt idx="0">
                  <c:v>BANK OF AMERICA, NATIONAL ASSOCIATION</c:v>
                </c:pt>
              </c:strCache>
            </c:strRef>
          </c:tx>
          <c:marker>
            <c:symbol val="none"/>
          </c:marker>
          <c:cat>
            <c:strRef>
              <c:f>'2009Q2 to 2010Q4 CrdDev4reg'!$C$1:$G$1</c:f>
              <c:strCache>
                <c:ptCount val="5"/>
                <c:pt idx="0">
                  <c:v>2009Q2</c:v>
                </c:pt>
                <c:pt idx="1">
                  <c:v>2009Q3</c:v>
                </c:pt>
                <c:pt idx="2">
                  <c:v>2009Q4</c:v>
                </c:pt>
                <c:pt idx="3">
                  <c:v>2010Q1</c:v>
                </c:pt>
                <c:pt idx="4">
                  <c:v>2010Q2</c:v>
                </c:pt>
              </c:strCache>
            </c:strRef>
          </c:cat>
          <c:val>
            <c:numRef>
              <c:f>'2009Q2 to 2010Q4 CrdDev4reg'!$C$4:$G$4</c:f>
              <c:numCache>
                <c:formatCode>_-* #,##0.00_-;\-* #,##0.00_-;_-* "-"??_-;_-@_-</c:formatCode>
                <c:ptCount val="5"/>
                <c:pt idx="0">
                  <c:v>4089631</c:v>
                </c:pt>
                <c:pt idx="1">
                  <c:v>3766083</c:v>
                </c:pt>
                <c:pt idx="2">
                  <c:v>3705672</c:v>
                </c:pt>
                <c:pt idx="3">
                  <c:v>3447598</c:v>
                </c:pt>
                <c:pt idx="4">
                  <c:v>3114587</c:v>
                </c:pt>
              </c:numCache>
            </c:numRef>
          </c:val>
        </c:ser>
        <c:ser>
          <c:idx val="3"/>
          <c:order val="3"/>
          <c:tx>
            <c:strRef>
              <c:f>'2009Q2 to 2010Q4 CrdDev4reg'!$A$5</c:f>
              <c:strCache>
                <c:ptCount val="1"/>
                <c:pt idx="0">
                  <c:v>GOLDMAN SACHS BANK USA</c:v>
                </c:pt>
              </c:strCache>
            </c:strRef>
          </c:tx>
          <c:marker>
            <c:symbol val="none"/>
          </c:marker>
          <c:cat>
            <c:strRef>
              <c:f>'2009Q2 to 2010Q4 CrdDev4reg'!$C$1:$G$1</c:f>
              <c:strCache>
                <c:ptCount val="5"/>
                <c:pt idx="0">
                  <c:v>2009Q2</c:v>
                </c:pt>
                <c:pt idx="1">
                  <c:v>2009Q3</c:v>
                </c:pt>
                <c:pt idx="2">
                  <c:v>2009Q4</c:v>
                </c:pt>
                <c:pt idx="3">
                  <c:v>2010Q1</c:v>
                </c:pt>
                <c:pt idx="4">
                  <c:v>2010Q2</c:v>
                </c:pt>
              </c:strCache>
            </c:strRef>
          </c:cat>
          <c:val>
            <c:numRef>
              <c:f>'2009Q2 to 2010Q4 CrdDev4reg'!$C$5:$G$5</c:f>
              <c:numCache>
                <c:formatCode>_-* #,##0.00_-;\-* #,##0.00_-;_-* "-"??_-;_-@_-</c:formatCode>
                <c:ptCount val="5"/>
                <c:pt idx="0">
                  <c:v>3243000</c:v>
                </c:pt>
                <c:pt idx="1">
                  <c:v>3226000</c:v>
                </c:pt>
                <c:pt idx="2">
                  <c:v>3174000</c:v>
                </c:pt>
                <c:pt idx="3">
                  <c:v>2907000</c:v>
                </c:pt>
                <c:pt idx="4">
                  <c:v>2784000</c:v>
                </c:pt>
              </c:numCache>
            </c:numRef>
          </c:val>
        </c:ser>
        <c:ser>
          <c:idx val="4"/>
          <c:order val="4"/>
          <c:tx>
            <c:strRef>
              <c:f>'2009Q2 to 2010Q4 CrdDev4reg'!$A$6</c:f>
              <c:strCache>
                <c:ptCount val="1"/>
                <c:pt idx="0">
                  <c:v>HSBC BANK USA</c:v>
                </c:pt>
              </c:strCache>
            </c:strRef>
          </c:tx>
          <c:marker>
            <c:symbol val="none"/>
          </c:marker>
          <c:cat>
            <c:strRef>
              <c:f>'2009Q2 to 2010Q4 CrdDev4reg'!$C$1:$G$1</c:f>
              <c:strCache>
                <c:ptCount val="5"/>
                <c:pt idx="0">
                  <c:v>2009Q2</c:v>
                </c:pt>
                <c:pt idx="1">
                  <c:v>2009Q3</c:v>
                </c:pt>
                <c:pt idx="2">
                  <c:v>2009Q4</c:v>
                </c:pt>
                <c:pt idx="3">
                  <c:v>2010Q1</c:v>
                </c:pt>
                <c:pt idx="4">
                  <c:v>2010Q2</c:v>
                </c:pt>
              </c:strCache>
            </c:strRef>
          </c:cat>
          <c:val>
            <c:numRef>
              <c:f>'2009Q2 to 2010Q4 CrdDev4reg'!$C$6:$G$6</c:f>
              <c:numCache>
                <c:formatCode>_-* #,##0.00_-;\-* #,##0.00_-;_-* "-"??_-;_-@_-</c:formatCode>
                <c:ptCount val="5"/>
                <c:pt idx="0">
                  <c:v>3414772</c:v>
                </c:pt>
                <c:pt idx="1">
                  <c:v>3492110</c:v>
                </c:pt>
                <c:pt idx="2">
                  <c:v>3419490</c:v>
                </c:pt>
                <c:pt idx="3">
                  <c:v>2424219</c:v>
                </c:pt>
                <c:pt idx="4">
                  <c:v>869324</c:v>
                </c:pt>
              </c:numCache>
            </c:numRef>
          </c:val>
        </c:ser>
        <c:ser>
          <c:idx val="5"/>
          <c:order val="5"/>
          <c:tx>
            <c:strRef>
              <c:f>'2009Q2 to 2010Q4 CrdDev4reg'!$A$21</c:f>
              <c:strCache>
                <c:ptCount val="1"/>
                <c:pt idx="0">
                  <c:v>All Banks</c:v>
                </c:pt>
              </c:strCache>
            </c:strRef>
          </c:tx>
          <c:marker>
            <c:symbol val="none"/>
          </c:marker>
          <c:cat>
            <c:strRef>
              <c:f>'2009Q2 to 2010Q4 CrdDev4reg'!$C$1:$G$1</c:f>
              <c:strCache>
                <c:ptCount val="5"/>
                <c:pt idx="0">
                  <c:v>2009Q2</c:v>
                </c:pt>
                <c:pt idx="1">
                  <c:v>2009Q3</c:v>
                </c:pt>
                <c:pt idx="2">
                  <c:v>2009Q4</c:v>
                </c:pt>
                <c:pt idx="3">
                  <c:v>2010Q1</c:v>
                </c:pt>
                <c:pt idx="4">
                  <c:v>2010Q2</c:v>
                </c:pt>
              </c:strCache>
            </c:strRef>
          </c:cat>
          <c:val>
            <c:numRef>
              <c:f>'2009Q2 to 2010Q4 CrdDev4reg'!$C$21:$G$21</c:f>
              <c:numCache>
                <c:formatCode>_-* #,##0.00_-;\-* #,##0.00_-;_-* "-"??_-;_-@_-</c:formatCode>
                <c:ptCount val="5"/>
                <c:pt idx="0">
                  <c:v>88560174</c:v>
                </c:pt>
                <c:pt idx="1">
                  <c:v>82172705</c:v>
                </c:pt>
                <c:pt idx="2">
                  <c:v>65037496</c:v>
                </c:pt>
                <c:pt idx="3">
                  <c:v>58679381</c:v>
                </c:pt>
                <c:pt idx="4">
                  <c:v>40804551</c:v>
                </c:pt>
              </c:numCache>
            </c:numRef>
          </c:val>
        </c:ser>
        <c:marker val="1"/>
        <c:axId val="181278976"/>
        <c:axId val="185581952"/>
      </c:lineChart>
      <c:catAx>
        <c:axId val="181278976"/>
        <c:scaling>
          <c:orientation val="minMax"/>
        </c:scaling>
        <c:axPos val="b"/>
        <c:numFmt formatCode="General" sourceLinked="1"/>
        <c:majorTickMark val="none"/>
        <c:tickLblPos val="nextTo"/>
        <c:crossAx val="185581952"/>
        <c:crosses val="autoZero"/>
        <c:auto val="1"/>
        <c:lblAlgn val="ctr"/>
        <c:lblOffset val="100"/>
      </c:catAx>
      <c:valAx>
        <c:axId val="185581952"/>
        <c:scaling>
          <c:orientation val="minMax"/>
        </c:scaling>
        <c:axPos val="l"/>
        <c:majorGridlines/>
        <c:title>
          <c:tx>
            <c:rich>
              <a:bodyPr/>
              <a:lstStyle/>
              <a:p>
                <a:pPr>
                  <a:defRPr sz="467" b="1" i="0" u="none" strike="noStrike" baseline="0">
                    <a:solidFill>
                      <a:srgbClr val="000000"/>
                    </a:solidFill>
                    <a:latin typeface="Calibri"/>
                    <a:ea typeface="Calibri"/>
                    <a:cs typeface="Calibri"/>
                  </a:defRPr>
                </a:pPr>
                <a:r>
                  <a:rPr lang="en-GB"/>
                  <a:t>$ thousands</a:t>
                </a:r>
              </a:p>
            </c:rich>
          </c:tx>
        </c:title>
        <c:numFmt formatCode="#,##0" sourceLinked="0"/>
        <c:majorTickMark val="none"/>
        <c:tickLblPos val="nextTo"/>
        <c:crossAx val="181278976"/>
        <c:crosses val="autoZero"/>
        <c:crossBetween val="between"/>
      </c:valAx>
    </c:plotArea>
    <c:legend>
      <c:legendPos val="r"/>
      <c:layout>
        <c:manualLayout>
          <c:xMode val="edge"/>
          <c:yMode val="edge"/>
          <c:x val="0.8389616596002426"/>
          <c:y val="0.26120811540893124"/>
          <c:w val="0.15192162325863112"/>
          <c:h val="0.62359101097764269"/>
        </c:manualLayout>
      </c:layout>
    </c:legend>
    <c:plotVisOnly val="1"/>
    <c:dispBlanksAs val="gap"/>
  </c:chart>
  <c:txPr>
    <a:bodyPr/>
    <a:lstStyle/>
    <a:p>
      <a:pPr>
        <a:defRPr sz="467" b="1"/>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lineChart>
        <c:grouping val="standard"/>
        <c:ser>
          <c:idx val="0"/>
          <c:order val="0"/>
          <c:tx>
            <c:strRef>
              <c:f>'RMBS vs CMO Held Top12andOthers'!$A$20</c:f>
              <c:strCache>
                <c:ptCount val="1"/>
                <c:pt idx="0">
                  <c:v>Total RMBS Holdings All Banks</c:v>
                </c:pt>
              </c:strCache>
            </c:strRef>
          </c:tx>
          <c:marker>
            <c:symbol val="none"/>
          </c:marker>
          <c:cat>
            <c:strRef>
              <c:f>'RMBS vs CMO Held Top12andOthers'!$C$2:$AJ$2</c:f>
              <c:strCache>
                <c:ptCount val="34"/>
                <c:pt idx="0">
                  <c:v>2002Q1</c:v>
                </c:pt>
                <c:pt idx="1">
                  <c:v>2002Q2</c:v>
                </c:pt>
                <c:pt idx="2">
                  <c:v>2002Q3</c:v>
                </c:pt>
                <c:pt idx="3">
                  <c:v>2002Q4</c:v>
                </c:pt>
                <c:pt idx="4">
                  <c:v>2003Q1</c:v>
                </c:pt>
                <c:pt idx="5">
                  <c:v>2003Q2</c:v>
                </c:pt>
                <c:pt idx="6">
                  <c:v>2003Q3</c:v>
                </c:pt>
                <c:pt idx="7">
                  <c:v>2003Q4</c:v>
                </c:pt>
                <c:pt idx="8">
                  <c:v>2004Q1</c:v>
                </c:pt>
                <c:pt idx="9">
                  <c:v>2004Q2</c:v>
                </c:pt>
                <c:pt idx="10">
                  <c:v>2004Q3</c:v>
                </c:pt>
                <c:pt idx="11">
                  <c:v>2004Q4</c:v>
                </c:pt>
                <c:pt idx="12">
                  <c:v>2005Q1</c:v>
                </c:pt>
                <c:pt idx="13">
                  <c:v>2005Q2</c:v>
                </c:pt>
                <c:pt idx="14">
                  <c:v>2005Q3</c:v>
                </c:pt>
                <c:pt idx="15">
                  <c:v>2005Q4</c:v>
                </c:pt>
                <c:pt idx="16">
                  <c:v>2006Q1</c:v>
                </c:pt>
                <c:pt idx="17">
                  <c:v>2006Q2</c:v>
                </c:pt>
                <c:pt idx="18">
                  <c:v>2006Q3</c:v>
                </c:pt>
                <c:pt idx="19">
                  <c:v>2006Q4</c:v>
                </c:pt>
                <c:pt idx="20">
                  <c:v>2007Q1</c:v>
                </c:pt>
                <c:pt idx="21">
                  <c:v>2007Q2</c:v>
                </c:pt>
                <c:pt idx="22">
                  <c:v>2007Q3</c:v>
                </c:pt>
                <c:pt idx="23">
                  <c:v>2007Q4</c:v>
                </c:pt>
                <c:pt idx="24">
                  <c:v>2008Q1</c:v>
                </c:pt>
                <c:pt idx="25">
                  <c:v>2008Q2</c:v>
                </c:pt>
                <c:pt idx="26">
                  <c:v>2008Q3</c:v>
                </c:pt>
                <c:pt idx="27">
                  <c:v>2008Q4</c:v>
                </c:pt>
                <c:pt idx="28">
                  <c:v>2009Q1</c:v>
                </c:pt>
                <c:pt idx="29">
                  <c:v>2009Q2</c:v>
                </c:pt>
                <c:pt idx="30">
                  <c:v>2009Q3</c:v>
                </c:pt>
                <c:pt idx="31">
                  <c:v>2009Q4</c:v>
                </c:pt>
                <c:pt idx="32">
                  <c:v>2010Q1</c:v>
                </c:pt>
                <c:pt idx="33">
                  <c:v>2010Q2</c:v>
                </c:pt>
              </c:strCache>
            </c:strRef>
          </c:cat>
          <c:val>
            <c:numRef>
              <c:f>'RMBS vs CMO Held Top12andOthers'!$C$20:$AJ$20</c:f>
              <c:numCache>
                <c:formatCode>_-* #,##0_-;\-* #,##0_-;_-* "-"??_-;_-@_-</c:formatCode>
                <c:ptCount val="34"/>
                <c:pt idx="0">
                  <c:v>321380589</c:v>
                </c:pt>
                <c:pt idx="1">
                  <c:v>346210083</c:v>
                </c:pt>
                <c:pt idx="2">
                  <c:v>369119568</c:v>
                </c:pt>
                <c:pt idx="3">
                  <c:v>378443748</c:v>
                </c:pt>
                <c:pt idx="4">
                  <c:v>413286011</c:v>
                </c:pt>
                <c:pt idx="5">
                  <c:v>464787650</c:v>
                </c:pt>
                <c:pt idx="6">
                  <c:v>403211403</c:v>
                </c:pt>
                <c:pt idx="7">
                  <c:v>411962699</c:v>
                </c:pt>
                <c:pt idx="8">
                  <c:v>524710354</c:v>
                </c:pt>
                <c:pt idx="9">
                  <c:v>500771761</c:v>
                </c:pt>
                <c:pt idx="10">
                  <c:v>484495225</c:v>
                </c:pt>
                <c:pt idx="11">
                  <c:v>543284760</c:v>
                </c:pt>
                <c:pt idx="12">
                  <c:v>570704125</c:v>
                </c:pt>
                <c:pt idx="13">
                  <c:v>578002365</c:v>
                </c:pt>
                <c:pt idx="14">
                  <c:v>571690311</c:v>
                </c:pt>
                <c:pt idx="15">
                  <c:v>569943045</c:v>
                </c:pt>
                <c:pt idx="16">
                  <c:v>602335151</c:v>
                </c:pt>
                <c:pt idx="17">
                  <c:v>635666610</c:v>
                </c:pt>
                <c:pt idx="18">
                  <c:v>628525224</c:v>
                </c:pt>
                <c:pt idx="19">
                  <c:v>705147402</c:v>
                </c:pt>
                <c:pt idx="20">
                  <c:v>719629905</c:v>
                </c:pt>
                <c:pt idx="21">
                  <c:v>709675564</c:v>
                </c:pt>
                <c:pt idx="22">
                  <c:v>692161709</c:v>
                </c:pt>
                <c:pt idx="23">
                  <c:v>700278162</c:v>
                </c:pt>
                <c:pt idx="24">
                  <c:v>708176854</c:v>
                </c:pt>
                <c:pt idx="25">
                  <c:v>745810949</c:v>
                </c:pt>
                <c:pt idx="26">
                  <c:v>726668441</c:v>
                </c:pt>
                <c:pt idx="27">
                  <c:v>728039986</c:v>
                </c:pt>
                <c:pt idx="28">
                  <c:v>756734125</c:v>
                </c:pt>
                <c:pt idx="29">
                  <c:v>766417311</c:v>
                </c:pt>
                <c:pt idx="30">
                  <c:v>752644958</c:v>
                </c:pt>
                <c:pt idx="31">
                  <c:v>798259070</c:v>
                </c:pt>
                <c:pt idx="32">
                  <c:v>789389055</c:v>
                </c:pt>
                <c:pt idx="33">
                  <c:v>791263604</c:v>
                </c:pt>
              </c:numCache>
            </c:numRef>
          </c:val>
        </c:ser>
        <c:ser>
          <c:idx val="1"/>
          <c:order val="1"/>
          <c:tx>
            <c:strRef>
              <c:f>'RMBS vs CMO Held Top12andOthers'!$A$21</c:f>
              <c:strCache>
                <c:ptCount val="1"/>
                <c:pt idx="0">
                  <c:v>Total CMO  Holdings All Banks</c:v>
                </c:pt>
              </c:strCache>
            </c:strRef>
          </c:tx>
          <c:marker>
            <c:symbol val="none"/>
          </c:marker>
          <c:cat>
            <c:strRef>
              <c:f>'RMBS vs CMO Held Top12andOthers'!$C$2:$AJ$2</c:f>
              <c:strCache>
                <c:ptCount val="34"/>
                <c:pt idx="0">
                  <c:v>2002Q1</c:v>
                </c:pt>
                <c:pt idx="1">
                  <c:v>2002Q2</c:v>
                </c:pt>
                <c:pt idx="2">
                  <c:v>2002Q3</c:v>
                </c:pt>
                <c:pt idx="3">
                  <c:v>2002Q4</c:v>
                </c:pt>
                <c:pt idx="4">
                  <c:v>2003Q1</c:v>
                </c:pt>
                <c:pt idx="5">
                  <c:v>2003Q2</c:v>
                </c:pt>
                <c:pt idx="6">
                  <c:v>2003Q3</c:v>
                </c:pt>
                <c:pt idx="7">
                  <c:v>2003Q4</c:v>
                </c:pt>
                <c:pt idx="8">
                  <c:v>2004Q1</c:v>
                </c:pt>
                <c:pt idx="9">
                  <c:v>2004Q2</c:v>
                </c:pt>
                <c:pt idx="10">
                  <c:v>2004Q3</c:v>
                </c:pt>
                <c:pt idx="11">
                  <c:v>2004Q4</c:v>
                </c:pt>
                <c:pt idx="12">
                  <c:v>2005Q1</c:v>
                </c:pt>
                <c:pt idx="13">
                  <c:v>2005Q2</c:v>
                </c:pt>
                <c:pt idx="14">
                  <c:v>2005Q3</c:v>
                </c:pt>
                <c:pt idx="15">
                  <c:v>2005Q4</c:v>
                </c:pt>
                <c:pt idx="16">
                  <c:v>2006Q1</c:v>
                </c:pt>
                <c:pt idx="17">
                  <c:v>2006Q2</c:v>
                </c:pt>
                <c:pt idx="18">
                  <c:v>2006Q3</c:v>
                </c:pt>
                <c:pt idx="19">
                  <c:v>2006Q4</c:v>
                </c:pt>
                <c:pt idx="20">
                  <c:v>2007Q1</c:v>
                </c:pt>
                <c:pt idx="21">
                  <c:v>2007Q2</c:v>
                </c:pt>
                <c:pt idx="22">
                  <c:v>2007Q3</c:v>
                </c:pt>
                <c:pt idx="23">
                  <c:v>2007Q4</c:v>
                </c:pt>
                <c:pt idx="24">
                  <c:v>2008Q1</c:v>
                </c:pt>
                <c:pt idx="25">
                  <c:v>2008Q2</c:v>
                </c:pt>
                <c:pt idx="26">
                  <c:v>2008Q3</c:v>
                </c:pt>
                <c:pt idx="27">
                  <c:v>2008Q4</c:v>
                </c:pt>
                <c:pt idx="28">
                  <c:v>2009Q1</c:v>
                </c:pt>
                <c:pt idx="29">
                  <c:v>2009Q2</c:v>
                </c:pt>
                <c:pt idx="30">
                  <c:v>2009Q3</c:v>
                </c:pt>
                <c:pt idx="31">
                  <c:v>2009Q4</c:v>
                </c:pt>
                <c:pt idx="32">
                  <c:v>2010Q1</c:v>
                </c:pt>
                <c:pt idx="33">
                  <c:v>2010Q2</c:v>
                </c:pt>
              </c:strCache>
            </c:strRef>
          </c:cat>
          <c:val>
            <c:numRef>
              <c:f>'RMBS vs CMO Held Top12andOthers'!$C$21:$AJ$21</c:f>
              <c:numCache>
                <c:formatCode>_-* #,##0_-;\-* #,##0_-;_-* "-"??_-;_-@_-</c:formatCode>
                <c:ptCount val="34"/>
                <c:pt idx="0">
                  <c:v>85054916</c:v>
                </c:pt>
                <c:pt idx="1">
                  <c:v>59025026</c:v>
                </c:pt>
                <c:pt idx="2">
                  <c:v>59332082</c:v>
                </c:pt>
                <c:pt idx="3">
                  <c:v>67744922</c:v>
                </c:pt>
                <c:pt idx="4">
                  <c:v>94886476</c:v>
                </c:pt>
                <c:pt idx="5">
                  <c:v>95877075</c:v>
                </c:pt>
                <c:pt idx="6">
                  <c:v>102351269</c:v>
                </c:pt>
                <c:pt idx="7">
                  <c:v>116288842</c:v>
                </c:pt>
                <c:pt idx="8">
                  <c:v>125494725</c:v>
                </c:pt>
                <c:pt idx="9">
                  <c:v>110100247</c:v>
                </c:pt>
                <c:pt idx="10">
                  <c:v>112891128</c:v>
                </c:pt>
                <c:pt idx="11">
                  <c:v>120871635</c:v>
                </c:pt>
                <c:pt idx="12">
                  <c:v>115592391</c:v>
                </c:pt>
                <c:pt idx="13">
                  <c:v>126726976</c:v>
                </c:pt>
                <c:pt idx="14">
                  <c:v>128148585</c:v>
                </c:pt>
                <c:pt idx="15">
                  <c:v>132395639</c:v>
                </c:pt>
                <c:pt idx="16">
                  <c:v>128692211</c:v>
                </c:pt>
                <c:pt idx="17">
                  <c:v>134617228</c:v>
                </c:pt>
                <c:pt idx="18">
                  <c:v>145904040</c:v>
                </c:pt>
                <c:pt idx="19">
                  <c:v>171462486</c:v>
                </c:pt>
                <c:pt idx="20">
                  <c:v>187605844</c:v>
                </c:pt>
                <c:pt idx="21">
                  <c:v>192962809</c:v>
                </c:pt>
                <c:pt idx="22">
                  <c:v>222784431</c:v>
                </c:pt>
                <c:pt idx="23">
                  <c:v>237431580</c:v>
                </c:pt>
                <c:pt idx="24">
                  <c:v>214039446</c:v>
                </c:pt>
                <c:pt idx="25">
                  <c:v>241404768</c:v>
                </c:pt>
                <c:pt idx="26">
                  <c:v>248217525</c:v>
                </c:pt>
                <c:pt idx="27">
                  <c:v>210017022</c:v>
                </c:pt>
                <c:pt idx="28">
                  <c:v>211845434</c:v>
                </c:pt>
                <c:pt idx="29">
                  <c:v>202356243</c:v>
                </c:pt>
                <c:pt idx="30">
                  <c:v>228693433</c:v>
                </c:pt>
                <c:pt idx="31">
                  <c:v>241564214</c:v>
                </c:pt>
                <c:pt idx="32">
                  <c:v>259438265</c:v>
                </c:pt>
                <c:pt idx="33">
                  <c:v>276879966</c:v>
                </c:pt>
              </c:numCache>
            </c:numRef>
          </c:val>
        </c:ser>
        <c:marker val="1"/>
        <c:axId val="186267520"/>
        <c:axId val="186269056"/>
      </c:lineChart>
      <c:catAx>
        <c:axId val="186267520"/>
        <c:scaling>
          <c:orientation val="minMax"/>
        </c:scaling>
        <c:axPos val="b"/>
        <c:numFmt formatCode="General" sourceLinked="1"/>
        <c:majorTickMark val="none"/>
        <c:tickLblPos val="nextTo"/>
        <c:crossAx val="186269056"/>
        <c:crosses val="autoZero"/>
        <c:auto val="1"/>
        <c:lblAlgn val="ctr"/>
        <c:lblOffset val="100"/>
      </c:catAx>
      <c:valAx>
        <c:axId val="186269056"/>
        <c:scaling>
          <c:orientation val="minMax"/>
        </c:scaling>
        <c:axPos val="l"/>
        <c:majorGridlines/>
        <c:title>
          <c:tx>
            <c:rich>
              <a:bodyPr/>
              <a:lstStyle/>
              <a:p>
                <a:pPr>
                  <a:defRPr/>
                </a:pPr>
                <a:r>
                  <a:rPr lang="en-GB"/>
                  <a:t>$ thousands</a:t>
                </a:r>
              </a:p>
            </c:rich>
          </c:tx>
        </c:title>
        <c:numFmt formatCode="_-* #,##0_-;\-* #,##0_-;_-* &quot;-&quot;??_-;_-@_-" sourceLinked="1"/>
        <c:majorTickMark val="none"/>
        <c:tickLblPos val="nextTo"/>
        <c:crossAx val="186267520"/>
        <c:crosses val="autoZero"/>
        <c:crossBetween val="between"/>
      </c:valAx>
    </c:plotArea>
    <c:legend>
      <c:legendPos val="b"/>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n-GB"/>
  <c:chart>
    <c:plotArea>
      <c:layout>
        <c:manualLayout>
          <c:layoutTarget val="inner"/>
          <c:xMode val="edge"/>
          <c:yMode val="edge"/>
          <c:x val="0.18016374156441448"/>
          <c:y val="3.3050885232899598E-2"/>
          <c:w val="0.58211702677501043"/>
          <c:h val="0.81940472631443861"/>
        </c:manualLayout>
      </c:layout>
      <c:lineChart>
        <c:grouping val="standard"/>
        <c:ser>
          <c:idx val="0"/>
          <c:order val="0"/>
          <c:tx>
            <c:strRef>
              <c:f>'RMBS vs CMO Ratio Top12'!$A$3</c:f>
              <c:strCache>
                <c:ptCount val="1"/>
                <c:pt idx="0">
                  <c:v>BANK OF AMERICA, NATIONAL ASSOCIATION</c:v>
                </c:pt>
              </c:strCache>
            </c:strRef>
          </c:tx>
          <c:marker>
            <c:symbol val="none"/>
          </c:marker>
          <c:cat>
            <c:strRef>
              <c:f>'RMBS vs CMO Ratio Top12'!$C$2:$AK$2</c:f>
              <c:strCache>
                <c:ptCount val="35"/>
                <c:pt idx="0">
                  <c:v>2002Q1</c:v>
                </c:pt>
                <c:pt idx="1">
                  <c:v>2002Q2</c:v>
                </c:pt>
                <c:pt idx="2">
                  <c:v>2002Q3</c:v>
                </c:pt>
                <c:pt idx="3">
                  <c:v>2002Q4</c:v>
                </c:pt>
                <c:pt idx="4">
                  <c:v>2003Q1</c:v>
                </c:pt>
                <c:pt idx="5">
                  <c:v>2003Q2</c:v>
                </c:pt>
                <c:pt idx="6">
                  <c:v>2003Q3</c:v>
                </c:pt>
                <c:pt idx="7">
                  <c:v>2003Q4</c:v>
                </c:pt>
                <c:pt idx="8">
                  <c:v>2004Q1</c:v>
                </c:pt>
                <c:pt idx="9">
                  <c:v>2004Q2</c:v>
                </c:pt>
                <c:pt idx="10">
                  <c:v>2004Q3</c:v>
                </c:pt>
                <c:pt idx="11">
                  <c:v>2004Q4</c:v>
                </c:pt>
                <c:pt idx="12">
                  <c:v>2005Q1</c:v>
                </c:pt>
                <c:pt idx="13">
                  <c:v>2005Q2</c:v>
                </c:pt>
                <c:pt idx="14">
                  <c:v>2005Q3</c:v>
                </c:pt>
                <c:pt idx="15">
                  <c:v>2005Q4</c:v>
                </c:pt>
                <c:pt idx="16">
                  <c:v>2006Q1</c:v>
                </c:pt>
                <c:pt idx="17">
                  <c:v>2006Q2</c:v>
                </c:pt>
                <c:pt idx="18">
                  <c:v>2006Q3</c:v>
                </c:pt>
                <c:pt idx="19">
                  <c:v>2006Q4</c:v>
                </c:pt>
                <c:pt idx="20">
                  <c:v>2007Q1</c:v>
                </c:pt>
                <c:pt idx="21">
                  <c:v>2007Q2</c:v>
                </c:pt>
                <c:pt idx="22">
                  <c:v>2007Q3</c:v>
                </c:pt>
                <c:pt idx="23">
                  <c:v>2007Q4</c:v>
                </c:pt>
                <c:pt idx="24">
                  <c:v>2008Q1</c:v>
                </c:pt>
                <c:pt idx="25">
                  <c:v>2008Q2</c:v>
                </c:pt>
                <c:pt idx="26">
                  <c:v>2008Q3</c:v>
                </c:pt>
                <c:pt idx="27">
                  <c:v>2008Q4</c:v>
                </c:pt>
                <c:pt idx="28">
                  <c:v>2009Q1</c:v>
                </c:pt>
                <c:pt idx="29">
                  <c:v>2009Q2</c:v>
                </c:pt>
                <c:pt idx="30">
                  <c:v>2009Q3</c:v>
                </c:pt>
                <c:pt idx="31">
                  <c:v>2009Q4</c:v>
                </c:pt>
                <c:pt idx="32">
                  <c:v>2010Q1</c:v>
                </c:pt>
                <c:pt idx="33">
                  <c:v>2010Q2</c:v>
                </c:pt>
                <c:pt idx="34">
                  <c:v>Average</c:v>
                </c:pt>
              </c:strCache>
            </c:strRef>
          </c:cat>
          <c:val>
            <c:numRef>
              <c:f>'RMBS vs CMO Ratio Top12'!$C$3:$AJ$3</c:f>
              <c:numCache>
                <c:formatCode>_-* #,##0.00_-;\-* #,##0.00_-;_-* "-"??_-;_-@_-</c:formatCode>
                <c:ptCount val="34"/>
                <c:pt idx="0">
                  <c:v>62417000</c:v>
                </c:pt>
                <c:pt idx="1">
                  <c:v>71961000</c:v>
                </c:pt>
                <c:pt idx="2">
                  <c:v>79413000</c:v>
                </c:pt>
                <c:pt idx="3">
                  <c:v>59246000</c:v>
                </c:pt>
                <c:pt idx="4">
                  <c:v>67373000</c:v>
                </c:pt>
                <c:pt idx="5">
                  <c:v>105768000</c:v>
                </c:pt>
                <c:pt idx="6">
                  <c:v>55586667</c:v>
                </c:pt>
                <c:pt idx="7">
                  <c:v>55441093</c:v>
                </c:pt>
                <c:pt idx="8">
                  <c:v>128936005</c:v>
                </c:pt>
                <c:pt idx="9">
                  <c:v>136463907</c:v>
                </c:pt>
                <c:pt idx="10">
                  <c:v>130617573</c:v>
                </c:pt>
                <c:pt idx="11">
                  <c:v>161411535</c:v>
                </c:pt>
                <c:pt idx="12">
                  <c:v>179229154</c:v>
                </c:pt>
                <c:pt idx="13">
                  <c:v>211911954</c:v>
                </c:pt>
                <c:pt idx="14">
                  <c:v>205804232</c:v>
                </c:pt>
                <c:pt idx="15">
                  <c:v>196202705</c:v>
                </c:pt>
                <c:pt idx="16">
                  <c:v>211482264</c:v>
                </c:pt>
                <c:pt idx="17">
                  <c:v>206993344</c:v>
                </c:pt>
                <c:pt idx="18">
                  <c:v>162670437</c:v>
                </c:pt>
                <c:pt idx="19">
                  <c:v>163181138</c:v>
                </c:pt>
                <c:pt idx="20">
                  <c:v>155995188</c:v>
                </c:pt>
                <c:pt idx="21">
                  <c:v>146611600</c:v>
                </c:pt>
                <c:pt idx="22">
                  <c:v>150553289</c:v>
                </c:pt>
                <c:pt idx="23">
                  <c:v>172204849</c:v>
                </c:pt>
                <c:pt idx="24">
                  <c:v>180927812</c:v>
                </c:pt>
                <c:pt idx="25">
                  <c:v>206387041</c:v>
                </c:pt>
                <c:pt idx="26">
                  <c:v>194446429</c:v>
                </c:pt>
                <c:pt idx="27">
                  <c:v>212678849</c:v>
                </c:pt>
                <c:pt idx="28">
                  <c:v>160457510</c:v>
                </c:pt>
                <c:pt idx="29">
                  <c:v>165480409</c:v>
                </c:pt>
                <c:pt idx="30">
                  <c:v>152852807</c:v>
                </c:pt>
                <c:pt idx="31">
                  <c:v>208078599</c:v>
                </c:pt>
                <c:pt idx="32">
                  <c:v>216097548</c:v>
                </c:pt>
                <c:pt idx="33">
                  <c:v>221324043</c:v>
                </c:pt>
              </c:numCache>
            </c:numRef>
          </c:val>
        </c:ser>
        <c:ser>
          <c:idx val="2"/>
          <c:order val="1"/>
          <c:tx>
            <c:strRef>
              <c:f>'RMBS vs CMO Ratio Top12'!$A$5</c:f>
              <c:strCache>
                <c:ptCount val="1"/>
                <c:pt idx="0">
                  <c:v>CITIBANK, N.A.</c:v>
                </c:pt>
              </c:strCache>
            </c:strRef>
          </c:tx>
          <c:marker>
            <c:symbol val="none"/>
          </c:marker>
          <c:cat>
            <c:strRef>
              <c:f>'RMBS vs CMO Ratio Top12'!$C$2:$AK$2</c:f>
              <c:strCache>
                <c:ptCount val="35"/>
                <c:pt idx="0">
                  <c:v>2002Q1</c:v>
                </c:pt>
                <c:pt idx="1">
                  <c:v>2002Q2</c:v>
                </c:pt>
                <c:pt idx="2">
                  <c:v>2002Q3</c:v>
                </c:pt>
                <c:pt idx="3">
                  <c:v>2002Q4</c:v>
                </c:pt>
                <c:pt idx="4">
                  <c:v>2003Q1</c:v>
                </c:pt>
                <c:pt idx="5">
                  <c:v>2003Q2</c:v>
                </c:pt>
                <c:pt idx="6">
                  <c:v>2003Q3</c:v>
                </c:pt>
                <c:pt idx="7">
                  <c:v>2003Q4</c:v>
                </c:pt>
                <c:pt idx="8">
                  <c:v>2004Q1</c:v>
                </c:pt>
                <c:pt idx="9">
                  <c:v>2004Q2</c:v>
                </c:pt>
                <c:pt idx="10">
                  <c:v>2004Q3</c:v>
                </c:pt>
                <c:pt idx="11">
                  <c:v>2004Q4</c:v>
                </c:pt>
                <c:pt idx="12">
                  <c:v>2005Q1</c:v>
                </c:pt>
                <c:pt idx="13">
                  <c:v>2005Q2</c:v>
                </c:pt>
                <c:pt idx="14">
                  <c:v>2005Q3</c:v>
                </c:pt>
                <c:pt idx="15">
                  <c:v>2005Q4</c:v>
                </c:pt>
                <c:pt idx="16">
                  <c:v>2006Q1</c:v>
                </c:pt>
                <c:pt idx="17">
                  <c:v>2006Q2</c:v>
                </c:pt>
                <c:pt idx="18">
                  <c:v>2006Q3</c:v>
                </c:pt>
                <c:pt idx="19">
                  <c:v>2006Q4</c:v>
                </c:pt>
                <c:pt idx="20">
                  <c:v>2007Q1</c:v>
                </c:pt>
                <c:pt idx="21">
                  <c:v>2007Q2</c:v>
                </c:pt>
                <c:pt idx="22">
                  <c:v>2007Q3</c:v>
                </c:pt>
                <c:pt idx="23">
                  <c:v>2007Q4</c:v>
                </c:pt>
                <c:pt idx="24">
                  <c:v>2008Q1</c:v>
                </c:pt>
                <c:pt idx="25">
                  <c:v>2008Q2</c:v>
                </c:pt>
                <c:pt idx="26">
                  <c:v>2008Q3</c:v>
                </c:pt>
                <c:pt idx="27">
                  <c:v>2008Q4</c:v>
                </c:pt>
                <c:pt idx="28">
                  <c:v>2009Q1</c:v>
                </c:pt>
                <c:pt idx="29">
                  <c:v>2009Q2</c:v>
                </c:pt>
                <c:pt idx="30">
                  <c:v>2009Q3</c:v>
                </c:pt>
                <c:pt idx="31">
                  <c:v>2009Q4</c:v>
                </c:pt>
                <c:pt idx="32">
                  <c:v>2010Q1</c:v>
                </c:pt>
                <c:pt idx="33">
                  <c:v>2010Q2</c:v>
                </c:pt>
                <c:pt idx="34">
                  <c:v>Average</c:v>
                </c:pt>
              </c:strCache>
            </c:strRef>
          </c:cat>
          <c:val>
            <c:numRef>
              <c:f>'RMBS vs CMO Ratio Top12'!$C$5:$AJ$5</c:f>
              <c:numCache>
                <c:formatCode>_-* #,##0.00_-;\-* #,##0.00_-;_-* "-"??_-;_-@_-</c:formatCode>
                <c:ptCount val="34"/>
                <c:pt idx="0">
                  <c:v>15754000</c:v>
                </c:pt>
                <c:pt idx="1">
                  <c:v>16056000</c:v>
                </c:pt>
                <c:pt idx="2">
                  <c:v>13403000</c:v>
                </c:pt>
                <c:pt idx="3">
                  <c:v>16660000</c:v>
                </c:pt>
                <c:pt idx="4">
                  <c:v>17600000</c:v>
                </c:pt>
                <c:pt idx="5">
                  <c:v>18283000</c:v>
                </c:pt>
                <c:pt idx="6">
                  <c:v>14527000</c:v>
                </c:pt>
                <c:pt idx="7">
                  <c:v>12722000</c:v>
                </c:pt>
                <c:pt idx="8">
                  <c:v>13235000</c:v>
                </c:pt>
                <c:pt idx="9">
                  <c:v>11803000</c:v>
                </c:pt>
                <c:pt idx="10">
                  <c:v>8059000</c:v>
                </c:pt>
                <c:pt idx="11">
                  <c:v>7320000</c:v>
                </c:pt>
                <c:pt idx="12">
                  <c:v>7373000</c:v>
                </c:pt>
                <c:pt idx="13">
                  <c:v>6322000</c:v>
                </c:pt>
                <c:pt idx="14">
                  <c:v>5567000</c:v>
                </c:pt>
                <c:pt idx="15">
                  <c:v>6596000</c:v>
                </c:pt>
                <c:pt idx="16">
                  <c:v>6089000</c:v>
                </c:pt>
                <c:pt idx="17">
                  <c:v>7535000</c:v>
                </c:pt>
                <c:pt idx="18">
                  <c:v>24829000</c:v>
                </c:pt>
                <c:pt idx="19">
                  <c:v>90538000</c:v>
                </c:pt>
                <c:pt idx="20">
                  <c:v>115860000</c:v>
                </c:pt>
                <c:pt idx="21">
                  <c:v>83594000</c:v>
                </c:pt>
                <c:pt idx="22">
                  <c:v>71506000</c:v>
                </c:pt>
                <c:pt idx="23">
                  <c:v>59864000</c:v>
                </c:pt>
                <c:pt idx="24">
                  <c:v>55350000</c:v>
                </c:pt>
                <c:pt idx="25">
                  <c:v>54527000</c:v>
                </c:pt>
                <c:pt idx="26">
                  <c:v>45852000</c:v>
                </c:pt>
                <c:pt idx="27">
                  <c:v>52118000</c:v>
                </c:pt>
                <c:pt idx="28">
                  <c:v>53002000</c:v>
                </c:pt>
                <c:pt idx="29">
                  <c:v>53082000</c:v>
                </c:pt>
                <c:pt idx="30">
                  <c:v>51327000</c:v>
                </c:pt>
                <c:pt idx="31">
                  <c:v>48913000</c:v>
                </c:pt>
                <c:pt idx="32">
                  <c:v>45380000</c:v>
                </c:pt>
                <c:pt idx="33">
                  <c:v>43871000</c:v>
                </c:pt>
              </c:numCache>
            </c:numRef>
          </c:val>
        </c:ser>
        <c:ser>
          <c:idx val="5"/>
          <c:order val="2"/>
          <c:tx>
            <c:strRef>
              <c:f>'RMBS vs CMO Ratio Top12'!$A$9</c:f>
              <c:strCache>
                <c:ptCount val="1"/>
                <c:pt idx="0">
                  <c:v>JPMORGAN CHASE BANK</c:v>
                </c:pt>
              </c:strCache>
            </c:strRef>
          </c:tx>
          <c:marker>
            <c:symbol val="none"/>
          </c:marker>
          <c:cat>
            <c:strRef>
              <c:f>'RMBS vs CMO Ratio Top12'!$C$2:$AK$2</c:f>
              <c:strCache>
                <c:ptCount val="35"/>
                <c:pt idx="0">
                  <c:v>2002Q1</c:v>
                </c:pt>
                <c:pt idx="1">
                  <c:v>2002Q2</c:v>
                </c:pt>
                <c:pt idx="2">
                  <c:v>2002Q3</c:v>
                </c:pt>
                <c:pt idx="3">
                  <c:v>2002Q4</c:v>
                </c:pt>
                <c:pt idx="4">
                  <c:v>2003Q1</c:v>
                </c:pt>
                <c:pt idx="5">
                  <c:v>2003Q2</c:v>
                </c:pt>
                <c:pt idx="6">
                  <c:v>2003Q3</c:v>
                </c:pt>
                <c:pt idx="7">
                  <c:v>2003Q4</c:v>
                </c:pt>
                <c:pt idx="8">
                  <c:v>2004Q1</c:v>
                </c:pt>
                <c:pt idx="9">
                  <c:v>2004Q2</c:v>
                </c:pt>
                <c:pt idx="10">
                  <c:v>2004Q3</c:v>
                </c:pt>
                <c:pt idx="11">
                  <c:v>2004Q4</c:v>
                </c:pt>
                <c:pt idx="12">
                  <c:v>2005Q1</c:v>
                </c:pt>
                <c:pt idx="13">
                  <c:v>2005Q2</c:v>
                </c:pt>
                <c:pt idx="14">
                  <c:v>2005Q3</c:v>
                </c:pt>
                <c:pt idx="15">
                  <c:v>2005Q4</c:v>
                </c:pt>
                <c:pt idx="16">
                  <c:v>2006Q1</c:v>
                </c:pt>
                <c:pt idx="17">
                  <c:v>2006Q2</c:v>
                </c:pt>
                <c:pt idx="18">
                  <c:v>2006Q3</c:v>
                </c:pt>
                <c:pt idx="19">
                  <c:v>2006Q4</c:v>
                </c:pt>
                <c:pt idx="20">
                  <c:v>2007Q1</c:v>
                </c:pt>
                <c:pt idx="21">
                  <c:v>2007Q2</c:v>
                </c:pt>
                <c:pt idx="22">
                  <c:v>2007Q3</c:v>
                </c:pt>
                <c:pt idx="23">
                  <c:v>2007Q4</c:v>
                </c:pt>
                <c:pt idx="24">
                  <c:v>2008Q1</c:v>
                </c:pt>
                <c:pt idx="25">
                  <c:v>2008Q2</c:v>
                </c:pt>
                <c:pt idx="26">
                  <c:v>2008Q3</c:v>
                </c:pt>
                <c:pt idx="27">
                  <c:v>2008Q4</c:v>
                </c:pt>
                <c:pt idx="28">
                  <c:v>2009Q1</c:v>
                </c:pt>
                <c:pt idx="29">
                  <c:v>2009Q2</c:v>
                </c:pt>
                <c:pt idx="30">
                  <c:v>2009Q3</c:v>
                </c:pt>
                <c:pt idx="31">
                  <c:v>2009Q4</c:v>
                </c:pt>
                <c:pt idx="32">
                  <c:v>2010Q1</c:v>
                </c:pt>
                <c:pt idx="33">
                  <c:v>2010Q2</c:v>
                </c:pt>
                <c:pt idx="34">
                  <c:v>Average</c:v>
                </c:pt>
              </c:strCache>
            </c:strRef>
          </c:cat>
          <c:val>
            <c:numRef>
              <c:f>'RMBS vs CMO Ratio Top12'!$C$9:$AJ$9</c:f>
              <c:numCache>
                <c:formatCode>_-* #,##0.00_-;\-* #,##0.00_-;_-* "-"??_-;_-@_-</c:formatCode>
                <c:ptCount val="34"/>
                <c:pt idx="0">
                  <c:v>28540000</c:v>
                </c:pt>
                <c:pt idx="1">
                  <c:v>25176000</c:v>
                </c:pt>
                <c:pt idx="2">
                  <c:v>36323000</c:v>
                </c:pt>
                <c:pt idx="3">
                  <c:v>44223000</c:v>
                </c:pt>
                <c:pt idx="4">
                  <c:v>45950000</c:v>
                </c:pt>
                <c:pt idx="5">
                  <c:v>56016000</c:v>
                </c:pt>
                <c:pt idx="6">
                  <c:v>37695000</c:v>
                </c:pt>
                <c:pt idx="7">
                  <c:v>33426000</c:v>
                </c:pt>
                <c:pt idx="8">
                  <c:v>37838000</c:v>
                </c:pt>
                <c:pt idx="9">
                  <c:v>36459000</c:v>
                </c:pt>
                <c:pt idx="10">
                  <c:v>32638000</c:v>
                </c:pt>
                <c:pt idx="11">
                  <c:v>47761000</c:v>
                </c:pt>
                <c:pt idx="12">
                  <c:v>40032000</c:v>
                </c:pt>
                <c:pt idx="13">
                  <c:v>26406000</c:v>
                </c:pt>
                <c:pt idx="14">
                  <c:v>29266000</c:v>
                </c:pt>
                <c:pt idx="15">
                  <c:v>21183000</c:v>
                </c:pt>
                <c:pt idx="16">
                  <c:v>40267000</c:v>
                </c:pt>
                <c:pt idx="17">
                  <c:v>56983000</c:v>
                </c:pt>
                <c:pt idx="18">
                  <c:v>70534000</c:v>
                </c:pt>
                <c:pt idx="19">
                  <c:v>75490000</c:v>
                </c:pt>
                <c:pt idx="20">
                  <c:v>77633000</c:v>
                </c:pt>
                <c:pt idx="21">
                  <c:v>79109000</c:v>
                </c:pt>
                <c:pt idx="22">
                  <c:v>75159000</c:v>
                </c:pt>
                <c:pt idx="23">
                  <c:v>66698000</c:v>
                </c:pt>
                <c:pt idx="24">
                  <c:v>80958000</c:v>
                </c:pt>
                <c:pt idx="25">
                  <c:v>85911000</c:v>
                </c:pt>
                <c:pt idx="26">
                  <c:v>106561000</c:v>
                </c:pt>
                <c:pt idx="27">
                  <c:v>130329000</c:v>
                </c:pt>
                <c:pt idx="28">
                  <c:v>182126000</c:v>
                </c:pt>
                <c:pt idx="29">
                  <c:v>191136000</c:v>
                </c:pt>
                <c:pt idx="30">
                  <c:v>195373000</c:v>
                </c:pt>
                <c:pt idx="31">
                  <c:v>181517000</c:v>
                </c:pt>
                <c:pt idx="32">
                  <c:v>180145000</c:v>
                </c:pt>
                <c:pt idx="33">
                  <c:v>170945000</c:v>
                </c:pt>
              </c:numCache>
            </c:numRef>
          </c:val>
        </c:ser>
        <c:ser>
          <c:idx val="9"/>
          <c:order val="3"/>
          <c:tx>
            <c:strRef>
              <c:f>'RMBS vs CMO Ratio Top12'!$A$13</c:f>
              <c:strCache>
                <c:ptCount val="1"/>
                <c:pt idx="0">
                  <c:v>WACHOVIA BANK, NATIONAL ASSOCIATION</c:v>
                </c:pt>
              </c:strCache>
            </c:strRef>
          </c:tx>
          <c:marker>
            <c:symbol val="none"/>
          </c:marker>
          <c:cat>
            <c:strRef>
              <c:f>'RMBS vs CMO Ratio Top12'!$C$2:$AK$2</c:f>
              <c:strCache>
                <c:ptCount val="35"/>
                <c:pt idx="0">
                  <c:v>2002Q1</c:v>
                </c:pt>
                <c:pt idx="1">
                  <c:v>2002Q2</c:v>
                </c:pt>
                <c:pt idx="2">
                  <c:v>2002Q3</c:v>
                </c:pt>
                <c:pt idx="3">
                  <c:v>2002Q4</c:v>
                </c:pt>
                <c:pt idx="4">
                  <c:v>2003Q1</c:v>
                </c:pt>
                <c:pt idx="5">
                  <c:v>2003Q2</c:v>
                </c:pt>
                <c:pt idx="6">
                  <c:v>2003Q3</c:v>
                </c:pt>
                <c:pt idx="7">
                  <c:v>2003Q4</c:v>
                </c:pt>
                <c:pt idx="8">
                  <c:v>2004Q1</c:v>
                </c:pt>
                <c:pt idx="9">
                  <c:v>2004Q2</c:v>
                </c:pt>
                <c:pt idx="10">
                  <c:v>2004Q3</c:v>
                </c:pt>
                <c:pt idx="11">
                  <c:v>2004Q4</c:v>
                </c:pt>
                <c:pt idx="12">
                  <c:v>2005Q1</c:v>
                </c:pt>
                <c:pt idx="13">
                  <c:v>2005Q2</c:v>
                </c:pt>
                <c:pt idx="14">
                  <c:v>2005Q3</c:v>
                </c:pt>
                <c:pt idx="15">
                  <c:v>2005Q4</c:v>
                </c:pt>
                <c:pt idx="16">
                  <c:v>2006Q1</c:v>
                </c:pt>
                <c:pt idx="17">
                  <c:v>2006Q2</c:v>
                </c:pt>
                <c:pt idx="18">
                  <c:v>2006Q3</c:v>
                </c:pt>
                <c:pt idx="19">
                  <c:v>2006Q4</c:v>
                </c:pt>
                <c:pt idx="20">
                  <c:v>2007Q1</c:v>
                </c:pt>
                <c:pt idx="21">
                  <c:v>2007Q2</c:v>
                </c:pt>
                <c:pt idx="22">
                  <c:v>2007Q3</c:v>
                </c:pt>
                <c:pt idx="23">
                  <c:v>2007Q4</c:v>
                </c:pt>
                <c:pt idx="24">
                  <c:v>2008Q1</c:v>
                </c:pt>
                <c:pt idx="25">
                  <c:v>2008Q2</c:v>
                </c:pt>
                <c:pt idx="26">
                  <c:v>2008Q3</c:v>
                </c:pt>
                <c:pt idx="27">
                  <c:v>2008Q4</c:v>
                </c:pt>
                <c:pt idx="28">
                  <c:v>2009Q1</c:v>
                </c:pt>
                <c:pt idx="29">
                  <c:v>2009Q2</c:v>
                </c:pt>
                <c:pt idx="30">
                  <c:v>2009Q3</c:v>
                </c:pt>
                <c:pt idx="31">
                  <c:v>2009Q4</c:v>
                </c:pt>
                <c:pt idx="32">
                  <c:v>2010Q1</c:v>
                </c:pt>
                <c:pt idx="33">
                  <c:v>2010Q2</c:v>
                </c:pt>
                <c:pt idx="34">
                  <c:v>Average</c:v>
                </c:pt>
              </c:strCache>
            </c:strRef>
          </c:cat>
          <c:val>
            <c:numRef>
              <c:f>'RMBS vs CMO Ratio Top12'!$C$13:$AJ$13</c:f>
              <c:numCache>
                <c:formatCode>_-* #,##0.00_-;\-* #,##0.00_-;_-* "-"??_-;_-@_-</c:formatCode>
                <c:ptCount val="34"/>
                <c:pt idx="0">
                  <c:v>35938140</c:v>
                </c:pt>
                <c:pt idx="1">
                  <c:v>37756000</c:v>
                </c:pt>
                <c:pt idx="2">
                  <c:v>47297000</c:v>
                </c:pt>
                <c:pt idx="3">
                  <c:v>50792000</c:v>
                </c:pt>
                <c:pt idx="4">
                  <c:v>47406000</c:v>
                </c:pt>
                <c:pt idx="5">
                  <c:v>46658000</c:v>
                </c:pt>
                <c:pt idx="6">
                  <c:v>54495000</c:v>
                </c:pt>
                <c:pt idx="7">
                  <c:v>67550000</c:v>
                </c:pt>
                <c:pt idx="8">
                  <c:v>71136000</c:v>
                </c:pt>
                <c:pt idx="9">
                  <c:v>70406000</c:v>
                </c:pt>
                <c:pt idx="10">
                  <c:v>70574000</c:v>
                </c:pt>
                <c:pt idx="11">
                  <c:v>74611000</c:v>
                </c:pt>
                <c:pt idx="12">
                  <c:v>86154000</c:v>
                </c:pt>
                <c:pt idx="13">
                  <c:v>87799000</c:v>
                </c:pt>
                <c:pt idx="14">
                  <c:v>85752000</c:v>
                </c:pt>
                <c:pt idx="15">
                  <c:v>88653000</c:v>
                </c:pt>
                <c:pt idx="16">
                  <c:v>91602000</c:v>
                </c:pt>
                <c:pt idx="17">
                  <c:v>92105000</c:v>
                </c:pt>
                <c:pt idx="18">
                  <c:v>79305000</c:v>
                </c:pt>
                <c:pt idx="19">
                  <c:v>80547000</c:v>
                </c:pt>
                <c:pt idx="20">
                  <c:v>79267000</c:v>
                </c:pt>
                <c:pt idx="21">
                  <c:v>77277000</c:v>
                </c:pt>
                <c:pt idx="22">
                  <c:v>78643000</c:v>
                </c:pt>
                <c:pt idx="23">
                  <c:v>79450000</c:v>
                </c:pt>
                <c:pt idx="24">
                  <c:v>79050000</c:v>
                </c:pt>
                <c:pt idx="25">
                  <c:v>79068000</c:v>
                </c:pt>
                <c:pt idx="26">
                  <c:v>71392000</c:v>
                </c:pt>
                <c:pt idx="27">
                  <c:v>32829000</c:v>
                </c:pt>
                <c:pt idx="28">
                  <c:v>31464000</c:v>
                </c:pt>
                <c:pt idx="29">
                  <c:v>57834000</c:v>
                </c:pt>
                <c:pt idx="30">
                  <c:v>54834000</c:v>
                </c:pt>
                <c:pt idx="31">
                  <c:v>51996000</c:v>
                </c:pt>
                <c:pt idx="32">
                  <c:v>0</c:v>
                </c:pt>
                <c:pt idx="33">
                  <c:v>0</c:v>
                </c:pt>
              </c:numCache>
            </c:numRef>
          </c:val>
        </c:ser>
        <c:ser>
          <c:idx val="10"/>
          <c:order val="4"/>
          <c:tx>
            <c:strRef>
              <c:f>'RMBS vs CMO Ratio Top12'!$A$14</c:f>
              <c:strCache>
                <c:ptCount val="1"/>
                <c:pt idx="0">
                  <c:v>WELLS FARGO BANK, NATIONAL ASSOCIATION</c:v>
                </c:pt>
              </c:strCache>
            </c:strRef>
          </c:tx>
          <c:marker>
            <c:symbol val="none"/>
          </c:marker>
          <c:cat>
            <c:strRef>
              <c:f>'RMBS vs CMO Ratio Top12'!$C$2:$AK$2</c:f>
              <c:strCache>
                <c:ptCount val="35"/>
                <c:pt idx="0">
                  <c:v>2002Q1</c:v>
                </c:pt>
                <c:pt idx="1">
                  <c:v>2002Q2</c:v>
                </c:pt>
                <c:pt idx="2">
                  <c:v>2002Q3</c:v>
                </c:pt>
                <c:pt idx="3">
                  <c:v>2002Q4</c:v>
                </c:pt>
                <c:pt idx="4">
                  <c:v>2003Q1</c:v>
                </c:pt>
                <c:pt idx="5">
                  <c:v>2003Q2</c:v>
                </c:pt>
                <c:pt idx="6">
                  <c:v>2003Q3</c:v>
                </c:pt>
                <c:pt idx="7">
                  <c:v>2003Q4</c:v>
                </c:pt>
                <c:pt idx="8">
                  <c:v>2004Q1</c:v>
                </c:pt>
                <c:pt idx="9">
                  <c:v>2004Q2</c:v>
                </c:pt>
                <c:pt idx="10">
                  <c:v>2004Q3</c:v>
                </c:pt>
                <c:pt idx="11">
                  <c:v>2004Q4</c:v>
                </c:pt>
                <c:pt idx="12">
                  <c:v>2005Q1</c:v>
                </c:pt>
                <c:pt idx="13">
                  <c:v>2005Q2</c:v>
                </c:pt>
                <c:pt idx="14">
                  <c:v>2005Q3</c:v>
                </c:pt>
                <c:pt idx="15">
                  <c:v>2005Q4</c:v>
                </c:pt>
                <c:pt idx="16">
                  <c:v>2006Q1</c:v>
                </c:pt>
                <c:pt idx="17">
                  <c:v>2006Q2</c:v>
                </c:pt>
                <c:pt idx="18">
                  <c:v>2006Q3</c:v>
                </c:pt>
                <c:pt idx="19">
                  <c:v>2006Q4</c:v>
                </c:pt>
                <c:pt idx="20">
                  <c:v>2007Q1</c:v>
                </c:pt>
                <c:pt idx="21">
                  <c:v>2007Q2</c:v>
                </c:pt>
                <c:pt idx="22">
                  <c:v>2007Q3</c:v>
                </c:pt>
                <c:pt idx="23">
                  <c:v>2007Q4</c:v>
                </c:pt>
                <c:pt idx="24">
                  <c:v>2008Q1</c:v>
                </c:pt>
                <c:pt idx="25">
                  <c:v>2008Q2</c:v>
                </c:pt>
                <c:pt idx="26">
                  <c:v>2008Q3</c:v>
                </c:pt>
                <c:pt idx="27">
                  <c:v>2008Q4</c:v>
                </c:pt>
                <c:pt idx="28">
                  <c:v>2009Q1</c:v>
                </c:pt>
                <c:pt idx="29">
                  <c:v>2009Q2</c:v>
                </c:pt>
                <c:pt idx="30">
                  <c:v>2009Q3</c:v>
                </c:pt>
                <c:pt idx="31">
                  <c:v>2009Q4</c:v>
                </c:pt>
                <c:pt idx="32">
                  <c:v>2010Q1</c:v>
                </c:pt>
                <c:pt idx="33">
                  <c:v>2010Q2</c:v>
                </c:pt>
                <c:pt idx="34">
                  <c:v>Average</c:v>
                </c:pt>
              </c:strCache>
            </c:strRef>
          </c:cat>
          <c:val>
            <c:numRef>
              <c:f>'RMBS vs CMO Ratio Top12'!$C$14:$AJ$14</c:f>
              <c:numCache>
                <c:formatCode>_-* #,##0.00_-;\-* #,##0.00_-;_-* "-"??_-;_-@_-</c:formatCode>
                <c:ptCount val="34"/>
                <c:pt idx="0">
                  <c:v>5604000</c:v>
                </c:pt>
                <c:pt idx="1">
                  <c:v>5069000</c:v>
                </c:pt>
                <c:pt idx="2">
                  <c:v>4148000</c:v>
                </c:pt>
                <c:pt idx="3">
                  <c:v>3495000</c:v>
                </c:pt>
                <c:pt idx="4">
                  <c:v>3585000</c:v>
                </c:pt>
                <c:pt idx="5">
                  <c:v>3220000</c:v>
                </c:pt>
                <c:pt idx="6">
                  <c:v>11306000</c:v>
                </c:pt>
                <c:pt idx="7">
                  <c:v>14311000</c:v>
                </c:pt>
                <c:pt idx="8">
                  <c:v>23364000</c:v>
                </c:pt>
                <c:pt idx="9">
                  <c:v>27503000</c:v>
                </c:pt>
                <c:pt idx="10">
                  <c:v>26052000</c:v>
                </c:pt>
                <c:pt idx="11">
                  <c:v>24455000</c:v>
                </c:pt>
                <c:pt idx="12">
                  <c:v>21518000</c:v>
                </c:pt>
                <c:pt idx="13">
                  <c:v>20279000</c:v>
                </c:pt>
                <c:pt idx="14">
                  <c:v>23057000</c:v>
                </c:pt>
                <c:pt idx="15">
                  <c:v>31892000</c:v>
                </c:pt>
                <c:pt idx="16">
                  <c:v>39516000</c:v>
                </c:pt>
                <c:pt idx="17">
                  <c:v>59075000</c:v>
                </c:pt>
                <c:pt idx="18">
                  <c:v>40394000</c:v>
                </c:pt>
                <c:pt idx="19">
                  <c:v>30981000</c:v>
                </c:pt>
                <c:pt idx="20">
                  <c:v>34188000</c:v>
                </c:pt>
                <c:pt idx="21">
                  <c:v>60056000</c:v>
                </c:pt>
                <c:pt idx="22">
                  <c:v>41339000</c:v>
                </c:pt>
                <c:pt idx="23">
                  <c:v>54344000</c:v>
                </c:pt>
                <c:pt idx="24">
                  <c:v>60560000</c:v>
                </c:pt>
                <c:pt idx="25">
                  <c:v>67672000</c:v>
                </c:pt>
                <c:pt idx="26">
                  <c:v>64368000</c:v>
                </c:pt>
                <c:pt idx="27">
                  <c:v>60149000</c:v>
                </c:pt>
                <c:pt idx="28">
                  <c:v>88633000</c:v>
                </c:pt>
                <c:pt idx="29">
                  <c:v>79447000</c:v>
                </c:pt>
                <c:pt idx="30">
                  <c:v>56467000</c:v>
                </c:pt>
                <c:pt idx="31">
                  <c:v>55413000</c:v>
                </c:pt>
                <c:pt idx="32">
                  <c:v>95034000</c:v>
                </c:pt>
                <c:pt idx="33">
                  <c:v>87947000</c:v>
                </c:pt>
              </c:numCache>
            </c:numRef>
          </c:val>
        </c:ser>
        <c:marker val="1"/>
        <c:axId val="188204544"/>
        <c:axId val="188206464"/>
      </c:lineChart>
      <c:catAx>
        <c:axId val="188204544"/>
        <c:scaling>
          <c:orientation val="minMax"/>
        </c:scaling>
        <c:axPos val="b"/>
        <c:numFmt formatCode="General" sourceLinked="1"/>
        <c:majorTickMark val="none"/>
        <c:tickLblPos val="nextTo"/>
        <c:crossAx val="188206464"/>
        <c:crosses val="autoZero"/>
        <c:auto val="1"/>
        <c:lblAlgn val="ctr"/>
        <c:lblOffset val="100"/>
      </c:catAx>
      <c:valAx>
        <c:axId val="188206464"/>
        <c:scaling>
          <c:orientation val="minMax"/>
        </c:scaling>
        <c:axPos val="l"/>
        <c:majorGridlines/>
        <c:title>
          <c:tx>
            <c:rich>
              <a:bodyPr/>
              <a:lstStyle/>
              <a:p>
                <a:pPr>
                  <a:defRPr sz="781" b="1" i="0" u="none" strike="noStrike" baseline="0">
                    <a:solidFill>
                      <a:srgbClr val="000000"/>
                    </a:solidFill>
                    <a:latin typeface="Calibri"/>
                    <a:ea typeface="Calibri"/>
                    <a:cs typeface="Calibri"/>
                  </a:defRPr>
                </a:pPr>
                <a:r>
                  <a:rPr lang="en-GB"/>
                  <a:t>$ Thousands</a:t>
                </a:r>
              </a:p>
            </c:rich>
          </c:tx>
        </c:title>
        <c:numFmt formatCode="_-* #,##0.00_-;\-* #,##0.00_-;_-* &quot;-&quot;??_-;_-@_-" sourceLinked="1"/>
        <c:majorTickMark val="none"/>
        <c:tickLblPos val="nextTo"/>
        <c:crossAx val="188204544"/>
        <c:crosses val="autoZero"/>
        <c:crossBetween val="between"/>
      </c:valAx>
    </c:plotArea>
    <c:legend>
      <c:legendPos val="r"/>
      <c:layout>
        <c:manualLayout>
          <c:xMode val="edge"/>
          <c:yMode val="edge"/>
          <c:x val="0.76355930718900156"/>
          <c:y val="0.2569798022261281"/>
          <c:w val="0.22876945971364321"/>
          <c:h val="0.64141518895503857"/>
        </c:manualLayout>
      </c:layout>
    </c:legend>
    <c:plotVisOnly val="1"/>
    <c:dispBlanksAs val="gap"/>
  </c:chart>
  <c:txPr>
    <a:bodyPr/>
    <a:lstStyle/>
    <a:p>
      <a:pPr>
        <a:defRPr sz="781" b="1"/>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lineChart>
        <c:grouping val="standard"/>
        <c:ser>
          <c:idx val="0"/>
          <c:order val="0"/>
          <c:tx>
            <c:strRef>
              <c:f>Sheet2!$B$195</c:f>
              <c:strCache>
                <c:ptCount val="1"/>
                <c:pt idx="0">
                  <c:v> Total RMBS Bank Assets FDIC Data</c:v>
                </c:pt>
              </c:strCache>
            </c:strRef>
          </c:tx>
          <c:cat>
            <c:strRef>
              <c:f>Sheet2!$C$194:$I$194</c:f>
              <c:strCache>
                <c:ptCount val="7"/>
                <c:pt idx="0">
                  <c:v>2006Q1</c:v>
                </c:pt>
                <c:pt idx="1">
                  <c:v>2006Q2</c:v>
                </c:pt>
                <c:pt idx="2">
                  <c:v>2006Q3</c:v>
                </c:pt>
                <c:pt idx="3">
                  <c:v>2006Q4</c:v>
                </c:pt>
                <c:pt idx="4">
                  <c:v>2007Q1</c:v>
                </c:pt>
                <c:pt idx="5">
                  <c:v>2007Q2</c:v>
                </c:pt>
                <c:pt idx="6">
                  <c:v>2007Q3</c:v>
                </c:pt>
              </c:strCache>
            </c:strRef>
          </c:cat>
          <c:val>
            <c:numRef>
              <c:f>Sheet2!$C$195:$I$195</c:f>
              <c:numCache>
                <c:formatCode>General</c:formatCode>
                <c:ptCount val="7"/>
                <c:pt idx="0">
                  <c:v>602.33499999999947</c:v>
                </c:pt>
                <c:pt idx="1">
                  <c:v>635.66599999999949</c:v>
                </c:pt>
                <c:pt idx="2">
                  <c:v>628.52499999999998</c:v>
                </c:pt>
                <c:pt idx="3">
                  <c:v>705.14699999999948</c:v>
                </c:pt>
                <c:pt idx="4">
                  <c:v>719.62900000000002</c:v>
                </c:pt>
                <c:pt idx="5">
                  <c:v>709.67600000000004</c:v>
                </c:pt>
                <c:pt idx="6">
                  <c:v>692.16199999999947</c:v>
                </c:pt>
              </c:numCache>
            </c:numRef>
          </c:val>
        </c:ser>
        <c:ser>
          <c:idx val="1"/>
          <c:order val="1"/>
          <c:tx>
            <c:strRef>
              <c:f>Sheet2!$B$196</c:f>
              <c:strCache>
                <c:ptCount val="1"/>
                <c:pt idx="0">
                  <c:v>Simulated (Leveraged #)</c:v>
                </c:pt>
              </c:strCache>
            </c:strRef>
          </c:tx>
          <c:cat>
            <c:strRef>
              <c:f>Sheet2!$C$194:$I$194</c:f>
              <c:strCache>
                <c:ptCount val="7"/>
                <c:pt idx="0">
                  <c:v>2006Q1</c:v>
                </c:pt>
                <c:pt idx="1">
                  <c:v>2006Q2</c:v>
                </c:pt>
                <c:pt idx="2">
                  <c:v>2006Q3</c:v>
                </c:pt>
                <c:pt idx="3">
                  <c:v>2006Q4</c:v>
                </c:pt>
                <c:pt idx="4">
                  <c:v>2007Q1</c:v>
                </c:pt>
                <c:pt idx="5">
                  <c:v>2007Q2</c:v>
                </c:pt>
                <c:pt idx="6">
                  <c:v>2007Q3</c:v>
                </c:pt>
              </c:strCache>
            </c:strRef>
          </c:cat>
          <c:val>
            <c:numRef>
              <c:f>Sheet2!$C$196:$I$196</c:f>
              <c:numCache>
                <c:formatCode>General</c:formatCode>
                <c:ptCount val="7"/>
                <c:pt idx="0">
                  <c:v>602.33499999999947</c:v>
                </c:pt>
                <c:pt idx="1">
                  <c:v>622.57345600000053</c:v>
                </c:pt>
                <c:pt idx="2">
                  <c:v>631.84498181439949</c:v>
                </c:pt>
                <c:pt idx="3">
                  <c:v>728.13568549941749</c:v>
                </c:pt>
                <c:pt idx="4">
                  <c:v>745.48574955447475</c:v>
                </c:pt>
                <c:pt idx="5">
                  <c:v>725.33614027600254</c:v>
                </c:pt>
                <c:pt idx="6">
                  <c:v>681.2032370559308</c:v>
                </c:pt>
              </c:numCache>
            </c:numRef>
          </c:val>
        </c:ser>
        <c:ser>
          <c:idx val="2"/>
          <c:order val="2"/>
          <c:tx>
            <c:strRef>
              <c:f>Sheet2!$B$197</c:f>
              <c:strCache>
                <c:ptCount val="1"/>
                <c:pt idx="0">
                  <c:v>Simulated (No Leverage) </c:v>
                </c:pt>
              </c:strCache>
            </c:strRef>
          </c:tx>
          <c:cat>
            <c:strRef>
              <c:f>Sheet2!$C$194:$I$194</c:f>
              <c:strCache>
                <c:ptCount val="7"/>
                <c:pt idx="0">
                  <c:v>2006Q1</c:v>
                </c:pt>
                <c:pt idx="1">
                  <c:v>2006Q2</c:v>
                </c:pt>
                <c:pt idx="2">
                  <c:v>2006Q3</c:v>
                </c:pt>
                <c:pt idx="3">
                  <c:v>2006Q4</c:v>
                </c:pt>
                <c:pt idx="4">
                  <c:v>2007Q1</c:v>
                </c:pt>
                <c:pt idx="5">
                  <c:v>2007Q2</c:v>
                </c:pt>
                <c:pt idx="6">
                  <c:v>2007Q3</c:v>
                </c:pt>
              </c:strCache>
            </c:strRef>
          </c:cat>
          <c:val>
            <c:numRef>
              <c:f>Sheet2!$C$197:$I$197</c:f>
              <c:numCache>
                <c:formatCode>General</c:formatCode>
                <c:ptCount val="7"/>
                <c:pt idx="0">
                  <c:v>602.33499999999947</c:v>
                </c:pt>
                <c:pt idx="1">
                  <c:v>622.57345600000053</c:v>
                </c:pt>
                <c:pt idx="2">
                  <c:v>631.56569112159946</c:v>
                </c:pt>
                <c:pt idx="3">
                  <c:v>631.57209112368378</c:v>
                </c:pt>
                <c:pt idx="4">
                  <c:v>631.57285883016857</c:v>
                </c:pt>
                <c:pt idx="5">
                  <c:v>631.57285883016857</c:v>
                </c:pt>
                <c:pt idx="6">
                  <c:v>631.57285879999949</c:v>
                </c:pt>
              </c:numCache>
            </c:numRef>
          </c:val>
        </c:ser>
        <c:marker val="1"/>
        <c:axId val="188961152"/>
        <c:axId val="188963840"/>
      </c:lineChart>
      <c:catAx>
        <c:axId val="188961152"/>
        <c:scaling>
          <c:orientation val="minMax"/>
        </c:scaling>
        <c:axPos val="b"/>
        <c:majorTickMark val="none"/>
        <c:tickLblPos val="nextTo"/>
        <c:crossAx val="188963840"/>
        <c:crosses val="autoZero"/>
        <c:auto val="1"/>
        <c:lblAlgn val="ctr"/>
        <c:lblOffset val="100"/>
      </c:catAx>
      <c:valAx>
        <c:axId val="188963840"/>
        <c:scaling>
          <c:orientation val="minMax"/>
          <c:max val="750"/>
          <c:min val="600"/>
        </c:scaling>
        <c:axPos val="l"/>
        <c:majorGridlines/>
        <c:title>
          <c:tx>
            <c:rich>
              <a:bodyPr rot="-5400000" vert="horz"/>
              <a:lstStyle/>
              <a:p>
                <a:pPr>
                  <a:defRPr/>
                </a:pPr>
                <a:r>
                  <a:rPr lang="en-GB"/>
                  <a:t>$ Billions</a:t>
                </a:r>
              </a:p>
            </c:rich>
          </c:tx>
        </c:title>
        <c:numFmt formatCode="General" sourceLinked="1"/>
        <c:majorTickMark val="in"/>
        <c:minorTickMark val="in"/>
        <c:tickLblPos val="nextTo"/>
        <c:crossAx val="188961152"/>
        <c:crosses val="autoZero"/>
        <c:crossBetween val="between"/>
        <c:majorUnit val="10"/>
        <c:minorUnit val="10"/>
      </c:valAx>
    </c:plotArea>
    <c:legend>
      <c:legendPos val="b"/>
      <c:layout>
        <c:manualLayout>
          <c:xMode val="edge"/>
          <c:yMode val="edge"/>
          <c:x val="0.05"/>
          <c:y val="0.91572033810734288"/>
          <c:w val="0.9"/>
          <c:h val="4.5784473791169795E-2"/>
        </c:manualLayout>
      </c:layout>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en-GB"/>
  <c:chart>
    <c:autoTitleDeleted val="1"/>
    <c:plotArea>
      <c:layout/>
      <c:lineChart>
        <c:grouping val="standard"/>
        <c:ser>
          <c:idx val="0"/>
          <c:order val="0"/>
          <c:tx>
            <c:strRef>
              <c:f>'Individual Banks Charts'!$A$3</c:f>
              <c:strCache>
                <c:ptCount val="1"/>
                <c:pt idx="0">
                  <c:v> Total RMBS Bank Assets FDIC Data</c:v>
                </c:pt>
              </c:strCache>
            </c:strRef>
          </c:tx>
          <c:cat>
            <c:strRef>
              <c:f>'Individual Banks Charts'!$B$2:$H$2</c:f>
              <c:strCache>
                <c:ptCount val="7"/>
                <c:pt idx="0">
                  <c:v>2006Q1</c:v>
                </c:pt>
                <c:pt idx="1">
                  <c:v>2006Q2</c:v>
                </c:pt>
                <c:pt idx="2">
                  <c:v>2006Q3</c:v>
                </c:pt>
                <c:pt idx="3">
                  <c:v>2006Q4</c:v>
                </c:pt>
                <c:pt idx="4">
                  <c:v>2007Q1</c:v>
                </c:pt>
                <c:pt idx="5">
                  <c:v>2007Q2</c:v>
                </c:pt>
                <c:pt idx="6">
                  <c:v>2007Q3</c:v>
                </c:pt>
              </c:strCache>
            </c:strRef>
          </c:cat>
          <c:val>
            <c:numRef>
              <c:f>'Individual Banks Charts'!$B$3:$H$3</c:f>
              <c:numCache>
                <c:formatCode>General</c:formatCode>
                <c:ptCount val="7"/>
                <c:pt idx="0">
                  <c:v>211.48200000000162</c:v>
                </c:pt>
                <c:pt idx="1">
                  <c:v>206.99300000000002</c:v>
                </c:pt>
                <c:pt idx="2">
                  <c:v>162.66999999999999</c:v>
                </c:pt>
                <c:pt idx="3">
                  <c:v>163.18100000000001</c:v>
                </c:pt>
                <c:pt idx="4">
                  <c:v>155.995</c:v>
                </c:pt>
                <c:pt idx="5">
                  <c:v>146.61099999999999</c:v>
                </c:pt>
                <c:pt idx="6">
                  <c:v>150.553</c:v>
                </c:pt>
              </c:numCache>
            </c:numRef>
          </c:val>
        </c:ser>
        <c:ser>
          <c:idx val="1"/>
          <c:order val="1"/>
          <c:tx>
            <c:strRef>
              <c:f>'Individual Banks Charts'!$A$4</c:f>
              <c:strCache>
                <c:ptCount val="1"/>
                <c:pt idx="0">
                  <c:v>Simulated (Leveraged #)</c:v>
                </c:pt>
              </c:strCache>
            </c:strRef>
          </c:tx>
          <c:cat>
            <c:strRef>
              <c:f>'Individual Banks Charts'!$B$2:$H$2</c:f>
              <c:strCache>
                <c:ptCount val="7"/>
                <c:pt idx="0">
                  <c:v>2006Q1</c:v>
                </c:pt>
                <c:pt idx="1">
                  <c:v>2006Q2</c:v>
                </c:pt>
                <c:pt idx="2">
                  <c:v>2006Q3</c:v>
                </c:pt>
                <c:pt idx="3">
                  <c:v>2006Q4</c:v>
                </c:pt>
                <c:pt idx="4">
                  <c:v>2007Q1</c:v>
                </c:pt>
                <c:pt idx="5">
                  <c:v>2007Q2</c:v>
                </c:pt>
                <c:pt idx="6">
                  <c:v>2007Q3</c:v>
                </c:pt>
              </c:strCache>
            </c:strRef>
          </c:cat>
          <c:val>
            <c:numRef>
              <c:f>'Individual Banks Charts'!$B$4:$H$4</c:f>
              <c:numCache>
                <c:formatCode>General</c:formatCode>
                <c:ptCount val="7"/>
                <c:pt idx="0">
                  <c:v>211.48200000000162</c:v>
                </c:pt>
                <c:pt idx="1">
                  <c:v>218.58779519999999</c:v>
                </c:pt>
                <c:pt idx="2">
                  <c:v>221.84306149247999</c:v>
                </c:pt>
                <c:pt idx="3">
                  <c:v>255.65107629606138</c:v>
                </c:pt>
                <c:pt idx="4">
                  <c:v>261.74307059645901</c:v>
                </c:pt>
                <c:pt idx="5">
                  <c:v>254.35763795739652</c:v>
                </c:pt>
                <c:pt idx="6">
                  <c:v>238.95180610613522</c:v>
                </c:pt>
              </c:numCache>
            </c:numRef>
          </c:val>
        </c:ser>
        <c:ser>
          <c:idx val="2"/>
          <c:order val="2"/>
          <c:tx>
            <c:strRef>
              <c:f>'Individual Banks Charts'!$A$5</c:f>
              <c:strCache>
                <c:ptCount val="1"/>
                <c:pt idx="0">
                  <c:v>Simulated (No Leverage) </c:v>
                </c:pt>
              </c:strCache>
            </c:strRef>
          </c:tx>
          <c:cat>
            <c:strRef>
              <c:f>'Individual Banks Charts'!$B$2:$H$2</c:f>
              <c:strCache>
                <c:ptCount val="7"/>
                <c:pt idx="0">
                  <c:v>2006Q1</c:v>
                </c:pt>
                <c:pt idx="1">
                  <c:v>2006Q2</c:v>
                </c:pt>
                <c:pt idx="2">
                  <c:v>2006Q3</c:v>
                </c:pt>
                <c:pt idx="3">
                  <c:v>2006Q4</c:v>
                </c:pt>
                <c:pt idx="4">
                  <c:v>2007Q1</c:v>
                </c:pt>
                <c:pt idx="5">
                  <c:v>2007Q2</c:v>
                </c:pt>
                <c:pt idx="6">
                  <c:v>2007Q3</c:v>
                </c:pt>
              </c:strCache>
            </c:strRef>
          </c:cat>
          <c:val>
            <c:numRef>
              <c:f>'Individual Banks Charts'!$B$5:$H$5</c:f>
              <c:numCache>
                <c:formatCode>General</c:formatCode>
                <c:ptCount val="7"/>
                <c:pt idx="0">
                  <c:v>211.48200000000162</c:v>
                </c:pt>
                <c:pt idx="1">
                  <c:v>218.58779519999999</c:v>
                </c:pt>
                <c:pt idx="2">
                  <c:v>221.74500151871999</c:v>
                </c:pt>
                <c:pt idx="3">
                  <c:v>221.75527074117952</c:v>
                </c:pt>
                <c:pt idx="4">
                  <c:v>221.75559471444544</c:v>
                </c:pt>
                <c:pt idx="5">
                  <c:v>221.75559471444544</c:v>
                </c:pt>
                <c:pt idx="6">
                  <c:v>221.75559471444544</c:v>
                </c:pt>
              </c:numCache>
            </c:numRef>
          </c:val>
        </c:ser>
        <c:marker val="1"/>
        <c:axId val="214748160"/>
        <c:axId val="215094400"/>
      </c:lineChart>
      <c:catAx>
        <c:axId val="214748160"/>
        <c:scaling>
          <c:orientation val="minMax"/>
        </c:scaling>
        <c:axPos val="b"/>
        <c:majorTickMark val="none"/>
        <c:tickLblPos val="nextTo"/>
        <c:crossAx val="215094400"/>
        <c:crosses val="autoZero"/>
        <c:auto val="1"/>
        <c:lblAlgn val="ctr"/>
        <c:lblOffset val="100"/>
      </c:catAx>
      <c:valAx>
        <c:axId val="215094400"/>
        <c:scaling>
          <c:orientation val="minMax"/>
          <c:max val="300"/>
          <c:min val="120"/>
        </c:scaling>
        <c:axPos val="l"/>
        <c:majorGridlines/>
        <c:title>
          <c:tx>
            <c:rich>
              <a:bodyPr rot="-5400000" vert="horz"/>
              <a:lstStyle/>
              <a:p>
                <a:pPr>
                  <a:defRPr/>
                </a:pPr>
                <a:r>
                  <a:rPr lang="en-GB"/>
                  <a:t>$ Billions</a:t>
                </a:r>
              </a:p>
            </c:rich>
          </c:tx>
        </c:title>
        <c:numFmt formatCode="General" sourceLinked="1"/>
        <c:majorTickMark val="in"/>
        <c:minorTickMark val="in"/>
        <c:tickLblPos val="nextTo"/>
        <c:crossAx val="214748160"/>
        <c:crosses val="autoZero"/>
        <c:crossBetween val="between"/>
        <c:majorUnit val="10"/>
        <c:minorUnit val="10"/>
      </c:valAx>
    </c:plotArea>
    <c:legend>
      <c:legendPos val="b"/>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lineChart>
        <c:grouping val="standard"/>
        <c:ser>
          <c:idx val="0"/>
          <c:order val="0"/>
          <c:tx>
            <c:strRef>
              <c:f>'Individual Banks Charts'!$V$3</c:f>
              <c:strCache>
                <c:ptCount val="1"/>
                <c:pt idx="0">
                  <c:v> Total RMBS Bank Assets FDIC Data</c:v>
                </c:pt>
              </c:strCache>
            </c:strRef>
          </c:tx>
          <c:cat>
            <c:strRef>
              <c:f>'Individual Banks Charts'!$W$2:$AC$2</c:f>
              <c:strCache>
                <c:ptCount val="7"/>
                <c:pt idx="0">
                  <c:v>2006Q1</c:v>
                </c:pt>
                <c:pt idx="1">
                  <c:v>2006Q2</c:v>
                </c:pt>
                <c:pt idx="2">
                  <c:v>2006Q3</c:v>
                </c:pt>
                <c:pt idx="3">
                  <c:v>2006Q4</c:v>
                </c:pt>
                <c:pt idx="4">
                  <c:v>2007Q1</c:v>
                </c:pt>
                <c:pt idx="5">
                  <c:v>2007Q2</c:v>
                </c:pt>
                <c:pt idx="6">
                  <c:v>2007Q3</c:v>
                </c:pt>
              </c:strCache>
            </c:strRef>
          </c:cat>
          <c:val>
            <c:numRef>
              <c:f>'Individual Banks Charts'!$W$3:$AC$3</c:f>
              <c:numCache>
                <c:formatCode>General</c:formatCode>
                <c:ptCount val="7"/>
                <c:pt idx="0">
                  <c:v>40.267000000000003</c:v>
                </c:pt>
                <c:pt idx="1">
                  <c:v>56.983000000000004</c:v>
                </c:pt>
                <c:pt idx="2">
                  <c:v>70.534000000000006</c:v>
                </c:pt>
                <c:pt idx="3">
                  <c:v>75.489999999999995</c:v>
                </c:pt>
                <c:pt idx="4">
                  <c:v>77.632999999999981</c:v>
                </c:pt>
                <c:pt idx="5">
                  <c:v>79.10899999999998</c:v>
                </c:pt>
                <c:pt idx="6">
                  <c:v>75.158999999999978</c:v>
                </c:pt>
              </c:numCache>
            </c:numRef>
          </c:val>
        </c:ser>
        <c:ser>
          <c:idx val="1"/>
          <c:order val="1"/>
          <c:tx>
            <c:strRef>
              <c:f>'Individual Banks Charts'!$V$4</c:f>
              <c:strCache>
                <c:ptCount val="1"/>
                <c:pt idx="0">
                  <c:v>Simulated (Leveraged #)</c:v>
                </c:pt>
              </c:strCache>
            </c:strRef>
          </c:tx>
          <c:cat>
            <c:strRef>
              <c:f>'Individual Banks Charts'!$W$2:$AC$2</c:f>
              <c:strCache>
                <c:ptCount val="7"/>
                <c:pt idx="0">
                  <c:v>2006Q1</c:v>
                </c:pt>
                <c:pt idx="1">
                  <c:v>2006Q2</c:v>
                </c:pt>
                <c:pt idx="2">
                  <c:v>2006Q3</c:v>
                </c:pt>
                <c:pt idx="3">
                  <c:v>2006Q4</c:v>
                </c:pt>
                <c:pt idx="4">
                  <c:v>2007Q1</c:v>
                </c:pt>
                <c:pt idx="5">
                  <c:v>2007Q2</c:v>
                </c:pt>
                <c:pt idx="6">
                  <c:v>2007Q3</c:v>
                </c:pt>
              </c:strCache>
            </c:strRef>
          </c:cat>
          <c:val>
            <c:numRef>
              <c:f>'Individual Banks Charts'!$W$4:$AC$4</c:f>
              <c:numCache>
                <c:formatCode>General</c:formatCode>
                <c:ptCount val="7"/>
                <c:pt idx="0">
                  <c:v>40.267000000000003</c:v>
                </c:pt>
                <c:pt idx="1">
                  <c:v>41.619971200000002</c:v>
                </c:pt>
                <c:pt idx="2">
                  <c:v>42.239786634880012</c:v>
                </c:pt>
                <c:pt idx="3">
                  <c:v>48.676964891638114</c:v>
                </c:pt>
                <c:pt idx="4">
                  <c:v>49.836904434928812</c:v>
                </c:pt>
                <c:pt idx="5">
                  <c:v>48.430689172743705</c:v>
                </c:pt>
                <c:pt idx="6">
                  <c:v>45.497358529216044</c:v>
                </c:pt>
              </c:numCache>
            </c:numRef>
          </c:val>
        </c:ser>
        <c:ser>
          <c:idx val="2"/>
          <c:order val="2"/>
          <c:tx>
            <c:strRef>
              <c:f>'Individual Banks Charts'!$V$5</c:f>
              <c:strCache>
                <c:ptCount val="1"/>
                <c:pt idx="0">
                  <c:v>Simulated (No Leverage) </c:v>
                </c:pt>
              </c:strCache>
            </c:strRef>
          </c:tx>
          <c:cat>
            <c:strRef>
              <c:f>'Individual Banks Charts'!$W$2:$AC$2</c:f>
              <c:strCache>
                <c:ptCount val="7"/>
                <c:pt idx="0">
                  <c:v>2006Q1</c:v>
                </c:pt>
                <c:pt idx="1">
                  <c:v>2006Q2</c:v>
                </c:pt>
                <c:pt idx="2">
                  <c:v>2006Q3</c:v>
                </c:pt>
                <c:pt idx="3">
                  <c:v>2006Q4</c:v>
                </c:pt>
                <c:pt idx="4">
                  <c:v>2007Q1</c:v>
                </c:pt>
                <c:pt idx="5">
                  <c:v>2007Q2</c:v>
                </c:pt>
                <c:pt idx="6">
                  <c:v>2007Q3</c:v>
                </c:pt>
              </c:strCache>
            </c:strRef>
          </c:cat>
          <c:val>
            <c:numRef>
              <c:f>'Individual Banks Charts'!$W$5:$AC$5</c:f>
              <c:numCache>
                <c:formatCode>General</c:formatCode>
                <c:ptCount val="7"/>
                <c:pt idx="0">
                  <c:v>40.267000000000003</c:v>
                </c:pt>
                <c:pt idx="1">
                  <c:v>41.619971200000002</c:v>
                </c:pt>
                <c:pt idx="2">
                  <c:v>42.221115632320725</c:v>
                </c:pt>
                <c:pt idx="3">
                  <c:v>42.223070932444344</c:v>
                </c:pt>
                <c:pt idx="4">
                  <c:v>42.223132618222124</c:v>
                </c:pt>
                <c:pt idx="5">
                  <c:v>42.223132618222124</c:v>
                </c:pt>
                <c:pt idx="6">
                  <c:v>42.223132618222124</c:v>
                </c:pt>
              </c:numCache>
            </c:numRef>
          </c:val>
        </c:ser>
        <c:marker val="1"/>
        <c:axId val="217189376"/>
        <c:axId val="217777280"/>
      </c:lineChart>
      <c:catAx>
        <c:axId val="217189376"/>
        <c:scaling>
          <c:orientation val="minMax"/>
        </c:scaling>
        <c:axPos val="b"/>
        <c:majorTickMark val="none"/>
        <c:tickLblPos val="nextTo"/>
        <c:crossAx val="217777280"/>
        <c:crosses val="autoZero"/>
        <c:auto val="1"/>
        <c:lblAlgn val="ctr"/>
        <c:lblOffset val="100"/>
      </c:catAx>
      <c:valAx>
        <c:axId val="217777280"/>
        <c:scaling>
          <c:orientation val="minMax"/>
          <c:max val="80"/>
          <c:min val="20"/>
        </c:scaling>
        <c:axPos val="l"/>
        <c:majorGridlines/>
        <c:title>
          <c:tx>
            <c:rich>
              <a:bodyPr rot="-5400000" vert="horz"/>
              <a:lstStyle/>
              <a:p>
                <a:pPr>
                  <a:defRPr/>
                </a:pPr>
                <a:r>
                  <a:rPr lang="en-GB"/>
                  <a:t>$ Billions</a:t>
                </a:r>
              </a:p>
            </c:rich>
          </c:tx>
        </c:title>
        <c:numFmt formatCode="General" sourceLinked="1"/>
        <c:majorTickMark val="in"/>
        <c:minorTickMark val="in"/>
        <c:tickLblPos val="nextTo"/>
        <c:crossAx val="217189376"/>
        <c:crosses val="autoZero"/>
        <c:crossBetween val="between"/>
        <c:majorUnit val="5"/>
        <c:minorUnit val="5"/>
      </c:valAx>
    </c:plotArea>
    <c:legend>
      <c:legendPos val="b"/>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04625C-E74E-4F7E-AF0B-B534770BB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TotalTime>
  <Pages>33</Pages>
  <Words>10987</Words>
  <Characters>62630</Characters>
  <Application>Microsoft Office Word</Application>
  <DocSecurity>0</DocSecurity>
  <Lines>521</Lines>
  <Paragraphs>146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73471</CharactersWithSpaces>
  <SharedDoc>false</SharedDoc>
  <HLinks>
    <vt:vector size="60" baseType="variant">
      <vt:variant>
        <vt:i4>5046277</vt:i4>
      </vt:variant>
      <vt:variant>
        <vt:i4>54</vt:i4>
      </vt:variant>
      <vt:variant>
        <vt:i4>0</vt:i4>
      </vt:variant>
      <vt:variant>
        <vt:i4>5</vt:i4>
      </vt:variant>
      <vt:variant>
        <vt:lpwstr>http://www.federalreserve.gov/generalinfo/basel2/npr_20060905/npr/section_1.htm</vt:lpwstr>
      </vt:variant>
      <vt:variant>
        <vt:lpwstr/>
      </vt:variant>
      <vt:variant>
        <vt:i4>5701659</vt:i4>
      </vt:variant>
      <vt:variant>
        <vt:i4>51</vt:i4>
      </vt:variant>
      <vt:variant>
        <vt:i4>0</vt:i4>
      </vt:variant>
      <vt:variant>
        <vt:i4>5</vt:i4>
      </vt:variant>
      <vt:variant>
        <vt:lpwstr>http://www.pimco.com/</vt:lpwstr>
      </vt:variant>
      <vt:variant>
        <vt:lpwstr/>
      </vt:variant>
      <vt:variant>
        <vt:i4>5701659</vt:i4>
      </vt:variant>
      <vt:variant>
        <vt:i4>48</vt:i4>
      </vt:variant>
      <vt:variant>
        <vt:i4>0</vt:i4>
      </vt:variant>
      <vt:variant>
        <vt:i4>5</vt:i4>
      </vt:variant>
      <vt:variant>
        <vt:lpwstr>http://www.pimco.com/</vt:lpwstr>
      </vt:variant>
      <vt:variant>
        <vt:lpwstr/>
      </vt:variant>
      <vt:variant>
        <vt:i4>5373969</vt:i4>
      </vt:variant>
      <vt:variant>
        <vt:i4>45</vt:i4>
      </vt:variant>
      <vt:variant>
        <vt:i4>0</vt:i4>
      </vt:variant>
      <vt:variant>
        <vt:i4>5</vt:i4>
      </vt:variant>
      <vt:variant>
        <vt:lpwstr>http://www.institutionalriskanaltics,com/</vt:lpwstr>
      </vt:variant>
      <vt:variant>
        <vt:lpwstr/>
      </vt:variant>
      <vt:variant>
        <vt:i4>131092</vt:i4>
      </vt:variant>
      <vt:variant>
        <vt:i4>21</vt:i4>
      </vt:variant>
      <vt:variant>
        <vt:i4>0</vt:i4>
      </vt:variant>
      <vt:variant>
        <vt:i4>5</vt:i4>
      </vt:variant>
      <vt:variant>
        <vt:lpwstr>http://www.occ.treas.gov/news-issuances/bulletins/1999/bulletin-1999-43a.pdf</vt:lpwstr>
      </vt:variant>
      <vt:variant>
        <vt:lpwstr/>
      </vt:variant>
      <vt:variant>
        <vt:i4>8323114</vt:i4>
      </vt:variant>
      <vt:variant>
        <vt:i4>18</vt:i4>
      </vt:variant>
      <vt:variant>
        <vt:i4>0</vt:i4>
      </vt:variant>
      <vt:variant>
        <vt:i4>5</vt:i4>
      </vt:variant>
      <vt:variant>
        <vt:lpwstr>http://www.federalreserve.gov/boarddocs/srletters/2002/SR0216a1.pdf</vt:lpwstr>
      </vt:variant>
      <vt:variant>
        <vt:lpwstr/>
      </vt:variant>
      <vt:variant>
        <vt:i4>786529</vt:i4>
      </vt:variant>
      <vt:variant>
        <vt:i4>15</vt:i4>
      </vt:variant>
      <vt:variant>
        <vt:i4>0</vt:i4>
      </vt:variant>
      <vt:variant>
        <vt:i4>5</vt:i4>
      </vt:variant>
      <vt:variant>
        <vt:lpwstr>http://www.federalreserve.gov/GeneralInfo/basel2/DraftNPR/NPR/part_5.htm</vt:lpwstr>
      </vt:variant>
      <vt:variant>
        <vt:lpwstr/>
      </vt:variant>
      <vt:variant>
        <vt:i4>2818067</vt:i4>
      </vt:variant>
      <vt:variant>
        <vt:i4>9</vt:i4>
      </vt:variant>
      <vt:variant>
        <vt:i4>0</vt:i4>
      </vt:variant>
      <vt:variant>
        <vt:i4>5</vt:i4>
      </vt:variant>
      <vt:variant>
        <vt:lpwstr>http://www.federalreserve.gov/GeneralInfo/basel2/DraftNPR/NPR/part_5.htm</vt:lpwstr>
      </vt:variant>
      <vt:variant>
        <vt:lpwstr>skip_nav#skip_nav</vt:lpwstr>
      </vt:variant>
      <vt:variant>
        <vt:i4>786529</vt:i4>
      </vt:variant>
      <vt:variant>
        <vt:i4>6</vt:i4>
      </vt:variant>
      <vt:variant>
        <vt:i4>0</vt:i4>
      </vt:variant>
      <vt:variant>
        <vt:i4>5</vt:i4>
      </vt:variant>
      <vt:variant>
        <vt:lpwstr>http://www.federalreserve.gov/GeneralInfo/basel2/DraftNPR/NPR/part_5.htm</vt:lpwstr>
      </vt:variant>
      <vt:variant>
        <vt:lpwstr/>
      </vt:variant>
      <vt:variant>
        <vt:i4>2818067</vt:i4>
      </vt:variant>
      <vt:variant>
        <vt:i4>0</vt:i4>
      </vt:variant>
      <vt:variant>
        <vt:i4>0</vt:i4>
      </vt:variant>
      <vt:variant>
        <vt:i4>5</vt:i4>
      </vt:variant>
      <vt:variant>
        <vt:lpwstr>http://www.federalreserve.gov/GeneralInfo/basel2/DraftNPR/NPR/part_5.htm</vt:lpwstr>
      </vt:variant>
      <vt:variant>
        <vt:lpwstr>skip_nav#skip_nav</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segun</dc:creator>
  <cp:lastModifiedBy>scher</cp:lastModifiedBy>
  <cp:revision>46</cp:revision>
  <cp:lastPrinted>2012-03-30T20:16:00Z</cp:lastPrinted>
  <dcterms:created xsi:type="dcterms:W3CDTF">2012-03-30T17:23:00Z</dcterms:created>
  <dcterms:modified xsi:type="dcterms:W3CDTF">2012-03-30T20:46:00Z</dcterms:modified>
</cp:coreProperties>
</file>